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915" w:rsidRPr="00040915" w:rsidRDefault="00040915" w:rsidP="00040915">
      <w:pPr>
        <w:shd w:val="clear" w:color="auto" w:fill="FFFFFF"/>
        <w:spacing w:before="315" w:after="158" w:line="375" w:lineRule="atLeast"/>
        <w:outlineLvl w:val="2"/>
        <w:rPr>
          <w:rFonts w:ascii="Helvetica" w:eastAsia="Times New Roman" w:hAnsi="Helvetica" w:cs="Helvetica"/>
          <w:color w:val="333333"/>
          <w:sz w:val="32"/>
          <w:szCs w:val="32"/>
          <w:lang w:eastAsia="nb-NO"/>
        </w:rPr>
      </w:pPr>
      <w:bookmarkStart w:id="0" w:name="kap6"/>
      <w:bookmarkEnd w:id="0"/>
      <w:r w:rsidRPr="00040915">
        <w:rPr>
          <w:rFonts w:ascii="Helvetica" w:eastAsia="Times New Roman" w:hAnsi="Helvetica" w:cs="Helvetica"/>
          <w:color w:val="333333"/>
          <w:sz w:val="32"/>
          <w:szCs w:val="32"/>
          <w:lang w:eastAsia="nb-NO"/>
        </w:rPr>
        <w:t>Del 6. Forurensning til vassdrag og det marine miljø fra skipsfart og andre aktiviteter</w:t>
      </w:r>
    </w:p>
    <w:p w:rsidR="00040915" w:rsidRPr="00040915" w:rsidRDefault="00040915" w:rsidP="00040915">
      <w:pPr>
        <w:shd w:val="clear" w:color="auto" w:fill="FFFFFF"/>
        <w:spacing w:before="315" w:after="158" w:line="360" w:lineRule="atLeast"/>
        <w:outlineLvl w:val="3"/>
        <w:rPr>
          <w:rFonts w:ascii="Helvetica" w:eastAsia="Times New Roman" w:hAnsi="Helvetica" w:cs="Helvetica"/>
          <w:color w:val="333333"/>
          <w:sz w:val="30"/>
          <w:szCs w:val="30"/>
          <w:lang w:eastAsia="nb-NO"/>
        </w:rPr>
      </w:pPr>
      <w:bookmarkStart w:id="1" w:name="kap19"/>
      <w:bookmarkEnd w:id="1"/>
      <w:r w:rsidRPr="00040915">
        <w:rPr>
          <w:rFonts w:ascii="Helvetica" w:eastAsia="Times New Roman" w:hAnsi="Helvetica" w:cs="Helvetica"/>
          <w:color w:val="333333"/>
          <w:sz w:val="30"/>
          <w:szCs w:val="30"/>
          <w:lang w:eastAsia="nb-NO"/>
        </w:rPr>
        <w:t xml:space="preserve">Kapittel 19. Sammensetning og bruk av dispergeringsmidler og strandrensemidler for bekjempelse av </w:t>
      </w:r>
      <w:proofErr w:type="spellStart"/>
      <w:r w:rsidRPr="00040915">
        <w:rPr>
          <w:rFonts w:ascii="Helvetica" w:eastAsia="Times New Roman" w:hAnsi="Helvetica" w:cs="Helvetica"/>
          <w:color w:val="333333"/>
          <w:sz w:val="30"/>
          <w:szCs w:val="30"/>
          <w:lang w:eastAsia="nb-NO"/>
        </w:rPr>
        <w:t>oljeforurensing</w:t>
      </w:r>
      <w:proofErr w:type="spellEnd"/>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Fastsatt med hjemmel i lov 11. juni 1976 nr. 79 om kontroll med produkter og forbrukertjenester (</w:t>
      </w:r>
      <w:proofErr w:type="spellStart"/>
      <w:r w:rsidRPr="00040915">
        <w:rPr>
          <w:rFonts w:ascii="Helvetica" w:eastAsia="Times New Roman" w:hAnsi="Helvetica" w:cs="Helvetica"/>
          <w:color w:val="333333"/>
          <w:sz w:val="24"/>
          <w:szCs w:val="24"/>
          <w:lang w:eastAsia="nb-NO"/>
        </w:rPr>
        <w:t>produktkontrolloven</w:t>
      </w:r>
      <w:proofErr w:type="spellEnd"/>
      <w:r w:rsidRPr="00040915">
        <w:rPr>
          <w:rFonts w:ascii="Helvetica" w:eastAsia="Times New Roman" w:hAnsi="Helvetica" w:cs="Helvetica"/>
          <w:color w:val="333333"/>
          <w:sz w:val="24"/>
          <w:szCs w:val="24"/>
          <w:lang w:eastAsia="nb-NO"/>
        </w:rPr>
        <w:t xml:space="preserve">) § 4 første ledd bokstav a og c, lov 13. mars 1981 nr. 6 om vern mot forurensninger og om avfall (Forurensningsloven) § 9 nr. 1 og 4 og lov 15. juni 2001 nr. 79 om miljøvern på Svalbard (svalbardmiljøloven) § 70 andre ledd. Jf. EØS-avtalen vedlegg II </w:t>
      </w:r>
      <w:proofErr w:type="spellStart"/>
      <w:r w:rsidRPr="00040915">
        <w:rPr>
          <w:rFonts w:ascii="Helvetica" w:eastAsia="Times New Roman" w:hAnsi="Helvetica" w:cs="Helvetica"/>
          <w:color w:val="333333"/>
          <w:sz w:val="24"/>
          <w:szCs w:val="24"/>
          <w:lang w:eastAsia="nb-NO"/>
        </w:rPr>
        <w:t>kap</w:t>
      </w:r>
      <w:proofErr w:type="spellEnd"/>
      <w:r w:rsidRPr="00040915">
        <w:rPr>
          <w:rFonts w:ascii="Helvetica" w:eastAsia="Times New Roman" w:hAnsi="Helvetica" w:cs="Helvetica"/>
          <w:color w:val="333333"/>
          <w:sz w:val="24"/>
          <w:szCs w:val="24"/>
          <w:lang w:eastAsia="nb-NO"/>
        </w:rPr>
        <w:t>. XIX nr. 1 (direktiv 98/34/EF).</w:t>
      </w:r>
    </w:p>
    <w:tbl>
      <w:tblPr>
        <w:tblW w:w="5000" w:type="pct"/>
        <w:tblCellMar>
          <w:top w:w="15" w:type="dxa"/>
          <w:left w:w="15" w:type="dxa"/>
          <w:bottom w:w="15" w:type="dxa"/>
          <w:right w:w="15" w:type="dxa"/>
        </w:tblCellMar>
        <w:tblLook w:val="04A0" w:firstRow="1" w:lastRow="0" w:firstColumn="1" w:lastColumn="0" w:noHBand="0" w:noVBand="1"/>
      </w:tblPr>
      <w:tblGrid>
        <w:gridCol w:w="41"/>
        <w:gridCol w:w="9061"/>
      </w:tblGrid>
      <w:tr w:rsidR="00040915" w:rsidRPr="00040915" w:rsidTr="00040915">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i/>
                <w:color w:val="333333"/>
                <w:sz w:val="23"/>
                <w:szCs w:val="23"/>
                <w:lang w:eastAsia="nb-NO"/>
              </w:rPr>
            </w:pP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i/>
                <w:color w:val="333333"/>
                <w:sz w:val="23"/>
                <w:szCs w:val="23"/>
                <w:lang w:eastAsia="nb-NO"/>
              </w:rPr>
            </w:pPr>
            <w:r w:rsidRPr="00040915">
              <w:rPr>
                <w:rFonts w:ascii="Helvetica" w:eastAsia="Times New Roman" w:hAnsi="Helvetica" w:cs="Helvetica"/>
                <w:i/>
                <w:color w:val="333333"/>
                <w:sz w:val="23"/>
                <w:szCs w:val="23"/>
                <w:lang w:eastAsia="nb-NO"/>
              </w:rPr>
              <w:t xml:space="preserve">Kapittel 19 med vedlegg endret ved </w:t>
            </w:r>
            <w:hyperlink r:id="rId7" w:history="1">
              <w:r w:rsidRPr="00040915">
                <w:rPr>
                  <w:rFonts w:ascii="Helvetica" w:eastAsia="Times New Roman" w:hAnsi="Helvetica" w:cs="Helvetica"/>
                  <w:i/>
                  <w:color w:val="066CAB"/>
                  <w:sz w:val="23"/>
                  <w:szCs w:val="23"/>
                  <w:lang w:eastAsia="nb-NO"/>
                </w:rPr>
                <w:t xml:space="preserve">forskrift 5 </w:t>
              </w:r>
              <w:proofErr w:type="spellStart"/>
              <w:r w:rsidRPr="00040915">
                <w:rPr>
                  <w:rFonts w:ascii="Helvetica" w:eastAsia="Times New Roman" w:hAnsi="Helvetica" w:cs="Helvetica"/>
                  <w:i/>
                  <w:color w:val="066CAB"/>
                  <w:sz w:val="23"/>
                  <w:szCs w:val="23"/>
                  <w:lang w:eastAsia="nb-NO"/>
                </w:rPr>
                <w:t>feb</w:t>
              </w:r>
              <w:proofErr w:type="spellEnd"/>
              <w:r w:rsidRPr="00040915">
                <w:rPr>
                  <w:rFonts w:ascii="Helvetica" w:eastAsia="Times New Roman" w:hAnsi="Helvetica" w:cs="Helvetica"/>
                  <w:i/>
                  <w:color w:val="066CAB"/>
                  <w:sz w:val="23"/>
                  <w:szCs w:val="23"/>
                  <w:lang w:eastAsia="nb-NO"/>
                </w:rPr>
                <w:t xml:space="preserve"> 2009 nr. 186</w:t>
              </w:r>
            </w:hyperlink>
            <w:r w:rsidRPr="00040915">
              <w:rPr>
                <w:rFonts w:ascii="Helvetica" w:eastAsia="Times New Roman" w:hAnsi="Helvetica" w:cs="Helvetica"/>
                <w:i/>
                <w:color w:val="333333"/>
                <w:sz w:val="23"/>
                <w:szCs w:val="23"/>
                <w:lang w:eastAsia="nb-NO"/>
              </w:rPr>
              <w:t xml:space="preserve"> (bl.a. hjemmel).</w:t>
            </w:r>
          </w:p>
          <w:p w:rsidR="00040915" w:rsidRPr="00040915" w:rsidRDefault="00040915" w:rsidP="00040915">
            <w:pPr>
              <w:spacing w:after="0" w:line="240" w:lineRule="auto"/>
              <w:rPr>
                <w:rFonts w:ascii="Helvetica" w:eastAsia="Times New Roman" w:hAnsi="Helvetica" w:cs="Helvetica"/>
                <w:i/>
                <w:color w:val="333333"/>
                <w:sz w:val="23"/>
                <w:szCs w:val="23"/>
                <w:lang w:eastAsia="nb-NO"/>
              </w:rPr>
            </w:pPr>
          </w:p>
          <w:p w:rsidR="00040915" w:rsidRPr="00040915" w:rsidRDefault="00040915" w:rsidP="00040915">
            <w:pPr>
              <w:spacing w:after="0" w:line="240" w:lineRule="auto"/>
              <w:rPr>
                <w:rFonts w:ascii="Helvetica" w:eastAsia="Times New Roman" w:hAnsi="Helvetica" w:cs="Helvetica"/>
                <w:i/>
                <w:color w:val="333333"/>
                <w:sz w:val="23"/>
                <w:szCs w:val="23"/>
                <w:lang w:eastAsia="nb-NO"/>
              </w:rPr>
            </w:pPr>
          </w:p>
        </w:tc>
      </w:tr>
    </w:tbl>
    <w:p w:rsidR="00040915" w:rsidRPr="00040915" w:rsidRDefault="00040915" w:rsidP="00040915">
      <w:pPr>
        <w:shd w:val="clear" w:color="auto" w:fill="FFFFFF"/>
        <w:spacing w:after="0" w:line="330" w:lineRule="atLeast"/>
        <w:rPr>
          <w:rFonts w:ascii="Helvetica" w:eastAsia="Times New Roman" w:hAnsi="Helvetica" w:cs="Helvetica"/>
          <w:color w:val="333333"/>
          <w:sz w:val="28"/>
          <w:szCs w:val="28"/>
          <w:lang w:eastAsia="nb-NO"/>
        </w:rPr>
      </w:pPr>
      <w:bookmarkStart w:id="2" w:name="§19-1"/>
      <w:bookmarkStart w:id="3" w:name="PARAGRAF_19-1"/>
      <w:bookmarkEnd w:id="2"/>
      <w:bookmarkEnd w:id="3"/>
      <w:r w:rsidRPr="00040915">
        <w:rPr>
          <w:rFonts w:ascii="Helvetica" w:eastAsia="Times New Roman" w:hAnsi="Helvetica" w:cs="Helvetica"/>
          <w:color w:val="333333"/>
          <w:sz w:val="28"/>
          <w:szCs w:val="28"/>
          <w:lang w:eastAsia="nb-NO"/>
        </w:rPr>
        <w:t>§ 19-1</w:t>
      </w:r>
      <w:proofErr w:type="gramStart"/>
      <w:r w:rsidRPr="00040915">
        <w:rPr>
          <w:rFonts w:ascii="Helvetica" w:eastAsia="Times New Roman" w:hAnsi="Helvetica" w:cs="Helvetica"/>
          <w:color w:val="333333"/>
          <w:sz w:val="28"/>
          <w:szCs w:val="28"/>
          <w:lang w:eastAsia="nb-NO"/>
        </w:rPr>
        <w:t>.</w:t>
      </w:r>
      <w:r w:rsidRPr="00040915">
        <w:rPr>
          <w:rFonts w:ascii="Helvetica" w:eastAsia="Times New Roman" w:hAnsi="Helvetica" w:cs="Helvetica"/>
          <w:i/>
          <w:iCs/>
          <w:color w:val="333333"/>
          <w:sz w:val="28"/>
          <w:szCs w:val="28"/>
          <w:lang w:eastAsia="nb-NO"/>
        </w:rPr>
        <w:t>Formål</w:t>
      </w:r>
      <w:proofErr w:type="gramEnd"/>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Formålet med bestemmelsene i dette kapitlet er å redusere skadevirkningene på miljøet ved akutt oljeforurensning.</w:t>
      </w:r>
    </w:p>
    <w:p w:rsidR="00040915" w:rsidRPr="00040915" w:rsidRDefault="00040915" w:rsidP="00040915">
      <w:pPr>
        <w:shd w:val="clear" w:color="auto" w:fill="FFFFFF"/>
        <w:spacing w:after="158" w:line="330" w:lineRule="atLeast"/>
        <w:rPr>
          <w:rFonts w:ascii="Helvetica" w:eastAsia="Times New Roman" w:hAnsi="Helvetica" w:cs="Helvetica"/>
          <w:color w:val="333333"/>
          <w:sz w:val="23"/>
          <w:szCs w:val="23"/>
          <w:lang w:eastAsia="nb-NO"/>
        </w:rPr>
      </w:pPr>
    </w:p>
    <w:p w:rsidR="00040915" w:rsidRPr="00040915" w:rsidRDefault="00040915" w:rsidP="00040915">
      <w:pPr>
        <w:shd w:val="clear" w:color="auto" w:fill="FFFFFF"/>
        <w:spacing w:after="0" w:line="330" w:lineRule="atLeast"/>
        <w:rPr>
          <w:rFonts w:ascii="Helvetica" w:eastAsia="Times New Roman" w:hAnsi="Helvetica" w:cs="Helvetica"/>
          <w:color w:val="333333"/>
          <w:sz w:val="28"/>
          <w:szCs w:val="28"/>
          <w:lang w:eastAsia="nb-NO"/>
        </w:rPr>
      </w:pPr>
      <w:bookmarkStart w:id="4" w:name="§19-2"/>
      <w:bookmarkStart w:id="5" w:name="PARAGRAF_19-2"/>
      <w:bookmarkEnd w:id="4"/>
      <w:bookmarkEnd w:id="5"/>
      <w:r w:rsidRPr="00040915">
        <w:rPr>
          <w:rFonts w:ascii="Helvetica" w:eastAsia="Times New Roman" w:hAnsi="Helvetica" w:cs="Helvetica"/>
          <w:color w:val="333333"/>
          <w:sz w:val="28"/>
          <w:szCs w:val="28"/>
          <w:lang w:eastAsia="nb-NO"/>
        </w:rPr>
        <w:t>§ 19-2</w:t>
      </w:r>
      <w:proofErr w:type="gramStart"/>
      <w:r w:rsidRPr="00040915">
        <w:rPr>
          <w:rFonts w:ascii="Helvetica" w:eastAsia="Times New Roman" w:hAnsi="Helvetica" w:cs="Helvetica"/>
          <w:color w:val="333333"/>
          <w:sz w:val="28"/>
          <w:szCs w:val="28"/>
          <w:lang w:eastAsia="nb-NO"/>
        </w:rPr>
        <w:t>.</w:t>
      </w:r>
      <w:r w:rsidRPr="00040915">
        <w:rPr>
          <w:rFonts w:ascii="Helvetica" w:eastAsia="Times New Roman" w:hAnsi="Helvetica" w:cs="Helvetica"/>
          <w:i/>
          <w:iCs/>
          <w:color w:val="333333"/>
          <w:sz w:val="28"/>
          <w:szCs w:val="28"/>
          <w:lang w:eastAsia="nb-NO"/>
        </w:rPr>
        <w:t>Virkeområde</w:t>
      </w:r>
      <w:proofErr w:type="gramEnd"/>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Bestemmelsene i dette kapitlet gjelder sammensetning og bruk av dispergeringsmidler og strandrensemidler for bekjempelse av akutt oljeforurensning.</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Bestemmelsene i dette kapitlet gjelder også for Svalbard.</w:t>
      </w:r>
    </w:p>
    <w:p w:rsidR="00040915" w:rsidRPr="00040915" w:rsidRDefault="00040915" w:rsidP="00040915">
      <w:pPr>
        <w:shd w:val="clear" w:color="auto" w:fill="FFFFFF"/>
        <w:spacing w:after="158" w:line="330" w:lineRule="atLeast"/>
        <w:rPr>
          <w:rFonts w:ascii="Helvetica" w:eastAsia="Times New Roman" w:hAnsi="Helvetica" w:cs="Helvetica"/>
          <w:color w:val="333333"/>
          <w:sz w:val="23"/>
          <w:szCs w:val="23"/>
          <w:lang w:eastAsia="nb-NO"/>
        </w:rPr>
      </w:pPr>
    </w:p>
    <w:p w:rsidR="00040915" w:rsidRPr="00040915" w:rsidRDefault="00040915" w:rsidP="00040915">
      <w:pPr>
        <w:shd w:val="clear" w:color="auto" w:fill="FFFFFF"/>
        <w:spacing w:after="0" w:line="330" w:lineRule="atLeast"/>
        <w:rPr>
          <w:rFonts w:ascii="Helvetica" w:eastAsia="Times New Roman" w:hAnsi="Helvetica" w:cs="Helvetica"/>
          <w:color w:val="333333"/>
          <w:sz w:val="28"/>
          <w:szCs w:val="28"/>
          <w:lang w:eastAsia="nb-NO"/>
        </w:rPr>
      </w:pPr>
      <w:bookmarkStart w:id="6" w:name="§19-3"/>
      <w:bookmarkStart w:id="7" w:name="PARAGRAF_19-3"/>
      <w:bookmarkEnd w:id="6"/>
      <w:bookmarkEnd w:id="7"/>
      <w:r w:rsidRPr="00040915">
        <w:rPr>
          <w:rFonts w:ascii="Helvetica" w:eastAsia="Times New Roman" w:hAnsi="Helvetica" w:cs="Helvetica"/>
          <w:color w:val="333333"/>
          <w:sz w:val="28"/>
          <w:szCs w:val="28"/>
          <w:lang w:eastAsia="nb-NO"/>
        </w:rPr>
        <w:t>§ 19-3</w:t>
      </w:r>
      <w:proofErr w:type="gramStart"/>
      <w:r w:rsidRPr="00040915">
        <w:rPr>
          <w:rFonts w:ascii="Helvetica" w:eastAsia="Times New Roman" w:hAnsi="Helvetica" w:cs="Helvetica"/>
          <w:color w:val="333333"/>
          <w:sz w:val="28"/>
          <w:szCs w:val="28"/>
          <w:lang w:eastAsia="nb-NO"/>
        </w:rPr>
        <w:t>.</w:t>
      </w:r>
      <w:r w:rsidRPr="00040915">
        <w:rPr>
          <w:rFonts w:ascii="Helvetica" w:eastAsia="Times New Roman" w:hAnsi="Helvetica" w:cs="Helvetica"/>
          <w:i/>
          <w:iCs/>
          <w:color w:val="333333"/>
          <w:sz w:val="28"/>
          <w:szCs w:val="28"/>
          <w:lang w:eastAsia="nb-NO"/>
        </w:rPr>
        <w:t>Definisjoner</w:t>
      </w:r>
      <w:proofErr w:type="gramEnd"/>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Med </w:t>
      </w:r>
      <w:r w:rsidRPr="00040915">
        <w:rPr>
          <w:rFonts w:ascii="Helvetica" w:eastAsia="Times New Roman" w:hAnsi="Helvetica" w:cs="Helvetica"/>
          <w:i/>
          <w:iCs/>
          <w:color w:val="333333"/>
          <w:sz w:val="24"/>
          <w:szCs w:val="24"/>
          <w:lang w:eastAsia="nb-NO"/>
        </w:rPr>
        <w:t>dispergeringsmiddel</w:t>
      </w:r>
      <w:r w:rsidRPr="00040915">
        <w:rPr>
          <w:rFonts w:ascii="Helvetica" w:eastAsia="Times New Roman" w:hAnsi="Helvetica" w:cs="Helvetica"/>
          <w:color w:val="333333"/>
          <w:sz w:val="24"/>
          <w:szCs w:val="24"/>
          <w:lang w:eastAsia="nb-NO"/>
        </w:rPr>
        <w:t xml:space="preserve"> menes flytende, kjemisk løsning som under påføring på olje på vann, fremskynder oppdelingen av oljeflak og løser opp oljen til små dråper som spres, fortynnes og brytes ned i vannmassene.</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Med </w:t>
      </w:r>
      <w:r w:rsidRPr="00040915">
        <w:rPr>
          <w:rFonts w:ascii="Helvetica" w:eastAsia="Times New Roman" w:hAnsi="Helvetica" w:cs="Helvetica"/>
          <w:i/>
          <w:iCs/>
          <w:color w:val="333333"/>
          <w:sz w:val="24"/>
          <w:szCs w:val="24"/>
          <w:lang w:eastAsia="nb-NO"/>
        </w:rPr>
        <w:t>strandrensemiddel</w:t>
      </w:r>
      <w:r w:rsidRPr="00040915">
        <w:rPr>
          <w:rFonts w:ascii="Helvetica" w:eastAsia="Times New Roman" w:hAnsi="Helvetica" w:cs="Helvetica"/>
          <w:color w:val="333333"/>
          <w:sz w:val="24"/>
          <w:szCs w:val="24"/>
          <w:lang w:eastAsia="nb-NO"/>
        </w:rPr>
        <w:t xml:space="preserve"> menes produkter som fremmer fjerning av olje fra underlaget. Strandrensemidler kan virke gjennom å løsne oljen fra underlaget, å dispergere oljen i vann som benyttes, eller å fremskynde biologisk nedbryting (</w:t>
      </w:r>
      <w:proofErr w:type="spellStart"/>
      <w:r w:rsidRPr="00040915">
        <w:rPr>
          <w:rFonts w:ascii="Helvetica" w:eastAsia="Times New Roman" w:hAnsi="Helvetica" w:cs="Helvetica"/>
          <w:color w:val="333333"/>
          <w:sz w:val="24"/>
          <w:szCs w:val="24"/>
          <w:lang w:eastAsia="nb-NO"/>
        </w:rPr>
        <w:t>bioremediering</w:t>
      </w:r>
      <w:proofErr w:type="spellEnd"/>
      <w:r w:rsidRPr="00040915">
        <w:rPr>
          <w:rFonts w:ascii="Helvetica" w:eastAsia="Times New Roman" w:hAnsi="Helvetica" w:cs="Helvetica"/>
          <w:color w:val="333333"/>
          <w:sz w:val="24"/>
          <w:szCs w:val="24"/>
          <w:lang w:eastAsia="nb-NO"/>
        </w:rPr>
        <w:t>).</w:t>
      </w:r>
    </w:p>
    <w:p w:rsidR="00040915" w:rsidRPr="00040915" w:rsidRDefault="00040915" w:rsidP="00040915">
      <w:pPr>
        <w:shd w:val="clear" w:color="auto" w:fill="FFFFFF"/>
        <w:spacing w:after="158" w:line="330" w:lineRule="atLeast"/>
        <w:rPr>
          <w:rFonts w:ascii="Helvetica" w:eastAsia="Times New Roman" w:hAnsi="Helvetica" w:cs="Helvetica"/>
          <w:color w:val="333333"/>
          <w:sz w:val="23"/>
          <w:szCs w:val="23"/>
          <w:lang w:eastAsia="nb-NO"/>
        </w:rPr>
      </w:pPr>
    </w:p>
    <w:p w:rsidR="00040915" w:rsidRPr="00040915" w:rsidRDefault="00040915" w:rsidP="00040915">
      <w:pPr>
        <w:shd w:val="clear" w:color="auto" w:fill="FFFFFF"/>
        <w:spacing w:after="0" w:line="330" w:lineRule="atLeast"/>
        <w:rPr>
          <w:rFonts w:ascii="Helvetica" w:eastAsia="Times New Roman" w:hAnsi="Helvetica" w:cs="Helvetica"/>
          <w:color w:val="333333"/>
          <w:sz w:val="28"/>
          <w:szCs w:val="28"/>
          <w:lang w:eastAsia="nb-NO"/>
        </w:rPr>
      </w:pPr>
      <w:bookmarkStart w:id="8" w:name="§19-4"/>
      <w:bookmarkStart w:id="9" w:name="PARAGRAF_19-4"/>
      <w:bookmarkEnd w:id="8"/>
      <w:bookmarkEnd w:id="9"/>
      <w:r w:rsidRPr="00040915">
        <w:rPr>
          <w:rFonts w:ascii="Helvetica" w:eastAsia="Times New Roman" w:hAnsi="Helvetica" w:cs="Helvetica"/>
          <w:color w:val="333333"/>
          <w:sz w:val="28"/>
          <w:szCs w:val="28"/>
          <w:lang w:eastAsia="nb-NO"/>
        </w:rPr>
        <w:t>§ 19-4</w:t>
      </w:r>
      <w:proofErr w:type="gramStart"/>
      <w:r w:rsidRPr="00040915">
        <w:rPr>
          <w:rFonts w:ascii="Helvetica" w:eastAsia="Times New Roman" w:hAnsi="Helvetica" w:cs="Helvetica"/>
          <w:color w:val="333333"/>
          <w:sz w:val="28"/>
          <w:szCs w:val="28"/>
          <w:lang w:eastAsia="nb-NO"/>
        </w:rPr>
        <w:t>.</w:t>
      </w:r>
      <w:r w:rsidRPr="00040915">
        <w:rPr>
          <w:rFonts w:ascii="Helvetica" w:eastAsia="Times New Roman" w:hAnsi="Helvetica" w:cs="Helvetica"/>
          <w:i/>
          <w:iCs/>
          <w:color w:val="333333"/>
          <w:sz w:val="28"/>
          <w:szCs w:val="28"/>
          <w:lang w:eastAsia="nb-NO"/>
        </w:rPr>
        <w:t>Tillatelse</w:t>
      </w:r>
      <w:proofErr w:type="gramEnd"/>
      <w:r w:rsidRPr="00040915">
        <w:rPr>
          <w:rFonts w:ascii="Helvetica" w:eastAsia="Times New Roman" w:hAnsi="Helvetica" w:cs="Helvetica"/>
          <w:i/>
          <w:iCs/>
          <w:color w:val="333333"/>
          <w:sz w:val="28"/>
          <w:szCs w:val="28"/>
          <w:lang w:eastAsia="nb-NO"/>
        </w:rPr>
        <w:t xml:space="preserve"> til bruk av dispergerings- og strandrensemidler</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Virksomhet som er beredskapspliktig i medhold av forurensningsloven § 40 og § 43 første og andre ledd og svalbardmiljøloven § 70, kan benytte dispergerings- eller strandrensemidler når dette følger av virksomhetens beredskapsplan.</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lastRenderedPageBreak/>
        <w:t>Bruk av dispergerings- eller strandrensemidler under aksjon mot akutt forurensning som ikke omfattes av beredskapsplanen i første ledd, kan bare skje med tillatelse fra Kystverket.</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Dersom det ved oljeforurensning oppstår uakseptabel fare for liv og helse, kan dispergerings- og strandrensemidler brukes uten særskilt tillatelse. Slik bruk skal rapporteres til Miljødirektoratet snarest mulig etter hendelsen. Ved bruk i farvannene rundt Svalbard, skal bruken i tillegg rapporteres til Sysselmannen på Svalbard.</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Annen bruk av dispergerings- eller strandrensemidler krever særskilt tillatelse fra Miljødirektoratet.</w:t>
      </w:r>
    </w:p>
    <w:tbl>
      <w:tblPr>
        <w:tblW w:w="5000" w:type="pct"/>
        <w:tblCellMar>
          <w:top w:w="15" w:type="dxa"/>
          <w:left w:w="15" w:type="dxa"/>
          <w:bottom w:w="15" w:type="dxa"/>
          <w:right w:w="15" w:type="dxa"/>
        </w:tblCellMar>
        <w:tblLook w:val="04A0" w:firstRow="1" w:lastRow="0" w:firstColumn="1" w:lastColumn="0" w:noHBand="0" w:noVBand="1"/>
      </w:tblPr>
      <w:tblGrid>
        <w:gridCol w:w="38"/>
        <w:gridCol w:w="9064"/>
      </w:tblGrid>
      <w:tr w:rsidR="00040915" w:rsidRPr="00040915" w:rsidTr="00040915">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i/>
                <w:color w:val="333333"/>
                <w:sz w:val="23"/>
                <w:szCs w:val="23"/>
                <w:lang w:eastAsia="nb-NO"/>
              </w:rPr>
            </w:pP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i/>
                <w:color w:val="333333"/>
                <w:sz w:val="23"/>
                <w:szCs w:val="23"/>
                <w:lang w:eastAsia="nb-NO"/>
              </w:rPr>
            </w:pPr>
            <w:r w:rsidRPr="00040915">
              <w:rPr>
                <w:rFonts w:ascii="Helvetica" w:eastAsia="Times New Roman" w:hAnsi="Helvetica" w:cs="Helvetica"/>
                <w:i/>
                <w:color w:val="333333"/>
                <w:sz w:val="23"/>
                <w:szCs w:val="23"/>
                <w:lang w:eastAsia="nb-NO"/>
              </w:rPr>
              <w:t xml:space="preserve">Endret ved </w:t>
            </w:r>
            <w:hyperlink r:id="rId8" w:history="1">
              <w:r w:rsidRPr="00040915">
                <w:rPr>
                  <w:rFonts w:ascii="Helvetica" w:eastAsia="Times New Roman" w:hAnsi="Helvetica" w:cs="Helvetica"/>
                  <w:i/>
                  <w:color w:val="066CAB"/>
                  <w:sz w:val="23"/>
                  <w:szCs w:val="23"/>
                  <w:lang w:eastAsia="nb-NO"/>
                </w:rPr>
                <w:t xml:space="preserve">forskrifter </w:t>
              </w:r>
              <w:proofErr w:type="gramStart"/>
              <w:r w:rsidRPr="00040915">
                <w:rPr>
                  <w:rFonts w:ascii="Helvetica" w:eastAsia="Times New Roman" w:hAnsi="Helvetica" w:cs="Helvetica"/>
                  <w:i/>
                  <w:color w:val="066CAB"/>
                  <w:sz w:val="23"/>
                  <w:szCs w:val="23"/>
                  <w:lang w:eastAsia="nb-NO"/>
                </w:rPr>
                <w:t>21</w:t>
              </w:r>
              <w:proofErr w:type="gramEnd"/>
              <w:r w:rsidRPr="00040915">
                <w:rPr>
                  <w:rFonts w:ascii="Helvetica" w:eastAsia="Times New Roman" w:hAnsi="Helvetica" w:cs="Helvetica"/>
                  <w:i/>
                  <w:color w:val="066CAB"/>
                  <w:sz w:val="23"/>
                  <w:szCs w:val="23"/>
                  <w:lang w:eastAsia="nb-NO"/>
                </w:rPr>
                <w:t xml:space="preserve"> juni 2010 nr. 1073</w:t>
              </w:r>
            </w:hyperlink>
            <w:r w:rsidRPr="00040915">
              <w:rPr>
                <w:rFonts w:ascii="Helvetica" w:eastAsia="Times New Roman" w:hAnsi="Helvetica" w:cs="Helvetica"/>
                <w:i/>
                <w:color w:val="333333"/>
                <w:sz w:val="23"/>
                <w:szCs w:val="23"/>
                <w:lang w:eastAsia="nb-NO"/>
              </w:rPr>
              <w:t xml:space="preserve">, </w:t>
            </w:r>
            <w:hyperlink r:id="rId9" w:history="1">
              <w:r w:rsidRPr="00040915">
                <w:rPr>
                  <w:rFonts w:ascii="Helvetica" w:eastAsia="Times New Roman" w:hAnsi="Helvetica" w:cs="Helvetica"/>
                  <w:i/>
                  <w:color w:val="066CAB"/>
                  <w:sz w:val="23"/>
                  <w:szCs w:val="23"/>
                  <w:lang w:eastAsia="nb-NO"/>
                </w:rPr>
                <w:t>15 mars 2013 nr. 284</w:t>
              </w:r>
            </w:hyperlink>
            <w:r w:rsidRPr="00040915">
              <w:rPr>
                <w:rFonts w:ascii="Helvetica" w:eastAsia="Times New Roman" w:hAnsi="Helvetica" w:cs="Helvetica"/>
                <w:i/>
                <w:color w:val="333333"/>
                <w:sz w:val="23"/>
                <w:szCs w:val="23"/>
                <w:lang w:eastAsia="nb-NO"/>
              </w:rPr>
              <w:t xml:space="preserve"> (i kraft 1 juli 2013).</w:t>
            </w:r>
          </w:p>
        </w:tc>
      </w:tr>
    </w:tbl>
    <w:p w:rsidR="00040915" w:rsidRDefault="00040915" w:rsidP="00040915">
      <w:pPr>
        <w:shd w:val="clear" w:color="auto" w:fill="FFFFFF"/>
        <w:spacing w:after="0" w:line="330" w:lineRule="atLeast"/>
        <w:rPr>
          <w:rFonts w:ascii="Helvetica" w:eastAsia="Times New Roman" w:hAnsi="Helvetica" w:cs="Helvetica"/>
          <w:color w:val="333333"/>
          <w:sz w:val="23"/>
          <w:szCs w:val="23"/>
          <w:lang w:eastAsia="nb-NO"/>
        </w:rPr>
      </w:pPr>
      <w:bookmarkStart w:id="10" w:name="§19-5"/>
      <w:bookmarkStart w:id="11" w:name="PARAGRAF_19-5"/>
      <w:bookmarkEnd w:id="10"/>
      <w:bookmarkEnd w:id="11"/>
    </w:p>
    <w:p w:rsidR="00040915" w:rsidRPr="00040915" w:rsidRDefault="00040915" w:rsidP="00040915">
      <w:pPr>
        <w:shd w:val="clear" w:color="auto" w:fill="FFFFFF"/>
        <w:spacing w:after="0" w:line="330" w:lineRule="atLeast"/>
        <w:rPr>
          <w:rFonts w:ascii="Helvetica" w:eastAsia="Times New Roman" w:hAnsi="Helvetica" w:cs="Helvetica"/>
          <w:color w:val="333333"/>
          <w:sz w:val="28"/>
          <w:szCs w:val="28"/>
          <w:lang w:eastAsia="nb-NO"/>
        </w:rPr>
      </w:pPr>
      <w:r w:rsidRPr="00040915">
        <w:rPr>
          <w:rFonts w:ascii="Helvetica" w:eastAsia="Times New Roman" w:hAnsi="Helvetica" w:cs="Helvetica"/>
          <w:color w:val="333333"/>
          <w:sz w:val="28"/>
          <w:szCs w:val="28"/>
          <w:lang w:eastAsia="nb-NO"/>
        </w:rPr>
        <w:t>§ 19-5</w:t>
      </w:r>
      <w:proofErr w:type="gramStart"/>
      <w:r w:rsidRPr="00040915">
        <w:rPr>
          <w:rFonts w:ascii="Helvetica" w:eastAsia="Times New Roman" w:hAnsi="Helvetica" w:cs="Helvetica"/>
          <w:color w:val="333333"/>
          <w:sz w:val="28"/>
          <w:szCs w:val="28"/>
          <w:lang w:eastAsia="nb-NO"/>
        </w:rPr>
        <w:t>.</w:t>
      </w:r>
      <w:r w:rsidRPr="00040915">
        <w:rPr>
          <w:rFonts w:ascii="Helvetica" w:eastAsia="Times New Roman" w:hAnsi="Helvetica" w:cs="Helvetica"/>
          <w:i/>
          <w:iCs/>
          <w:color w:val="333333"/>
          <w:sz w:val="28"/>
          <w:szCs w:val="28"/>
          <w:lang w:eastAsia="nb-NO"/>
        </w:rPr>
        <w:t>Krav</w:t>
      </w:r>
      <w:proofErr w:type="gramEnd"/>
      <w:r w:rsidRPr="00040915">
        <w:rPr>
          <w:rFonts w:ascii="Helvetica" w:eastAsia="Times New Roman" w:hAnsi="Helvetica" w:cs="Helvetica"/>
          <w:i/>
          <w:iCs/>
          <w:color w:val="333333"/>
          <w:sz w:val="28"/>
          <w:szCs w:val="28"/>
          <w:lang w:eastAsia="nb-NO"/>
        </w:rPr>
        <w:t xml:space="preserve"> til dispergerings- og strandrensemidler</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Virksomheter som bruker dispergeringsmiddel eller strandrensemiddel har ansvaret for å påse at midlene som benyttes er testet for akutt giftighet og effektivitet i henhold til vedlegg 1.</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Strandrensemidler skal testes for virkningsmekanisme med egnede og relevante metoder. Dersom virkningsmekanismen er </w:t>
      </w:r>
      <w:proofErr w:type="spellStart"/>
      <w:r w:rsidRPr="00040915">
        <w:rPr>
          <w:rFonts w:ascii="Helvetica" w:eastAsia="Times New Roman" w:hAnsi="Helvetica" w:cs="Helvetica"/>
          <w:color w:val="333333"/>
          <w:sz w:val="24"/>
          <w:szCs w:val="24"/>
          <w:lang w:eastAsia="nb-NO"/>
        </w:rPr>
        <w:t>bioremediering</w:t>
      </w:r>
      <w:proofErr w:type="spellEnd"/>
      <w:r w:rsidRPr="00040915">
        <w:rPr>
          <w:rFonts w:ascii="Helvetica" w:eastAsia="Times New Roman" w:hAnsi="Helvetica" w:cs="Helvetica"/>
          <w:color w:val="333333"/>
          <w:sz w:val="24"/>
          <w:szCs w:val="24"/>
          <w:lang w:eastAsia="nb-NO"/>
        </w:rPr>
        <w:t xml:space="preserve">, skal det vises ved standardiserte tester at produktet ikke inneholder genmodifiserte eller patogene organismer, eller bakterier med resistensgener mot antibiotika. </w:t>
      </w:r>
      <w:proofErr w:type="spellStart"/>
      <w:r w:rsidRPr="00040915">
        <w:rPr>
          <w:rFonts w:ascii="Helvetica" w:eastAsia="Times New Roman" w:hAnsi="Helvetica" w:cs="Helvetica"/>
          <w:color w:val="333333"/>
          <w:sz w:val="24"/>
          <w:szCs w:val="24"/>
          <w:lang w:eastAsia="nb-NO"/>
        </w:rPr>
        <w:t>Bioremedieringsmidler</w:t>
      </w:r>
      <w:proofErr w:type="spellEnd"/>
      <w:r w:rsidRPr="00040915">
        <w:rPr>
          <w:rFonts w:ascii="Helvetica" w:eastAsia="Times New Roman" w:hAnsi="Helvetica" w:cs="Helvetica"/>
          <w:color w:val="333333"/>
          <w:sz w:val="24"/>
          <w:szCs w:val="24"/>
          <w:lang w:eastAsia="nb-NO"/>
        </w:rPr>
        <w:t xml:space="preserve"> tillates ikke benyttet på Svalbard.</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Dispergeringsmidler med effektiv konsentrasjon, EC</w:t>
      </w:r>
      <w:r w:rsidRPr="00040915">
        <w:rPr>
          <w:rFonts w:ascii="Helvetica" w:eastAsia="Times New Roman" w:hAnsi="Helvetica" w:cs="Helvetica"/>
          <w:color w:val="333333"/>
          <w:sz w:val="24"/>
          <w:szCs w:val="24"/>
          <w:vertAlign w:val="subscript"/>
          <w:lang w:eastAsia="nb-NO"/>
        </w:rPr>
        <w:t>50</w:t>
      </w:r>
      <w:r w:rsidRPr="00040915">
        <w:rPr>
          <w:rFonts w:ascii="Helvetica" w:eastAsia="Times New Roman" w:hAnsi="Helvetica" w:cs="Helvetica"/>
          <w:color w:val="333333"/>
          <w:sz w:val="24"/>
          <w:szCs w:val="24"/>
          <w:lang w:eastAsia="nb-NO"/>
        </w:rPr>
        <w:t xml:space="preserve"> &lt; 10 mg/l og strandrensemidler med EC</w:t>
      </w:r>
      <w:r w:rsidRPr="00040915">
        <w:rPr>
          <w:rFonts w:ascii="Helvetica" w:eastAsia="Times New Roman" w:hAnsi="Helvetica" w:cs="Helvetica"/>
          <w:color w:val="333333"/>
          <w:sz w:val="24"/>
          <w:szCs w:val="24"/>
          <w:vertAlign w:val="subscript"/>
          <w:lang w:eastAsia="nb-NO"/>
        </w:rPr>
        <w:t>50</w:t>
      </w:r>
      <w:r w:rsidRPr="00040915">
        <w:rPr>
          <w:rFonts w:ascii="Helvetica" w:eastAsia="Times New Roman" w:hAnsi="Helvetica" w:cs="Helvetica"/>
          <w:color w:val="333333"/>
          <w:sz w:val="24"/>
          <w:szCs w:val="24"/>
          <w:lang w:eastAsia="nb-NO"/>
        </w:rPr>
        <w:t xml:space="preserve"> &lt; 100 mg/l skal ikke benyttes. Med effektiv konsentrasjon, EC</w:t>
      </w:r>
      <w:r w:rsidRPr="00040915">
        <w:rPr>
          <w:rFonts w:ascii="Helvetica" w:eastAsia="Times New Roman" w:hAnsi="Helvetica" w:cs="Helvetica"/>
          <w:color w:val="333333"/>
          <w:sz w:val="24"/>
          <w:szCs w:val="24"/>
          <w:vertAlign w:val="subscript"/>
          <w:lang w:eastAsia="nb-NO"/>
        </w:rPr>
        <w:t>50</w:t>
      </w:r>
      <w:r w:rsidRPr="00040915">
        <w:rPr>
          <w:rFonts w:ascii="Helvetica" w:eastAsia="Times New Roman" w:hAnsi="Helvetica" w:cs="Helvetica"/>
          <w:color w:val="333333"/>
          <w:sz w:val="24"/>
          <w:szCs w:val="24"/>
          <w:lang w:eastAsia="nb-NO"/>
        </w:rPr>
        <w:t xml:space="preserve"> menes den konsentrasjonen av et stoff som gir toksisk effekt under gitte testbetingelser etter en bestemt tid, hos 50 prosent av organismene som testes.</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De mest effektive midlene skal velges i henhold til vedlegg 2 eller i tråd med anerkjente metoder for effektivitetstesting der de foreligger.</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Det skal foreligge dokumentasjon som viser resultater fra alle utførte tester.</w:t>
      </w:r>
    </w:p>
    <w:p w:rsidR="00040915" w:rsidRPr="00040915" w:rsidRDefault="00040915" w:rsidP="00040915">
      <w:pPr>
        <w:shd w:val="clear" w:color="auto" w:fill="FFFFFF"/>
        <w:spacing w:after="158" w:line="330" w:lineRule="atLeast"/>
        <w:rPr>
          <w:rFonts w:ascii="Helvetica" w:eastAsia="Times New Roman" w:hAnsi="Helvetica" w:cs="Helvetica"/>
          <w:color w:val="333333"/>
          <w:sz w:val="23"/>
          <w:szCs w:val="23"/>
          <w:lang w:eastAsia="nb-NO"/>
        </w:rPr>
      </w:pPr>
    </w:p>
    <w:p w:rsidR="00040915" w:rsidRPr="00040915" w:rsidRDefault="00040915" w:rsidP="00040915">
      <w:pPr>
        <w:shd w:val="clear" w:color="auto" w:fill="FFFFFF"/>
        <w:spacing w:after="0" w:line="330" w:lineRule="atLeast"/>
        <w:rPr>
          <w:rFonts w:ascii="Helvetica" w:eastAsia="Times New Roman" w:hAnsi="Helvetica" w:cs="Helvetica"/>
          <w:color w:val="333333"/>
          <w:sz w:val="28"/>
          <w:szCs w:val="28"/>
          <w:lang w:eastAsia="nb-NO"/>
        </w:rPr>
      </w:pPr>
      <w:bookmarkStart w:id="12" w:name="§19-6"/>
      <w:bookmarkStart w:id="13" w:name="PARAGRAF_19-6"/>
      <w:bookmarkEnd w:id="12"/>
      <w:bookmarkEnd w:id="13"/>
      <w:r w:rsidRPr="00040915">
        <w:rPr>
          <w:rFonts w:ascii="Helvetica" w:eastAsia="Times New Roman" w:hAnsi="Helvetica" w:cs="Helvetica"/>
          <w:color w:val="333333"/>
          <w:sz w:val="28"/>
          <w:szCs w:val="28"/>
          <w:lang w:eastAsia="nb-NO"/>
        </w:rPr>
        <w:t>§ 19-6</w:t>
      </w:r>
      <w:proofErr w:type="gramStart"/>
      <w:r w:rsidRPr="00040915">
        <w:rPr>
          <w:rFonts w:ascii="Helvetica" w:eastAsia="Times New Roman" w:hAnsi="Helvetica" w:cs="Helvetica"/>
          <w:color w:val="333333"/>
          <w:sz w:val="28"/>
          <w:szCs w:val="28"/>
          <w:lang w:eastAsia="nb-NO"/>
        </w:rPr>
        <w:t>.</w:t>
      </w:r>
      <w:r w:rsidRPr="00040915">
        <w:rPr>
          <w:rFonts w:ascii="Helvetica" w:eastAsia="Times New Roman" w:hAnsi="Helvetica" w:cs="Helvetica"/>
          <w:i/>
          <w:iCs/>
          <w:color w:val="333333"/>
          <w:sz w:val="28"/>
          <w:szCs w:val="28"/>
          <w:lang w:eastAsia="nb-NO"/>
        </w:rPr>
        <w:t>Krav</w:t>
      </w:r>
      <w:proofErr w:type="gramEnd"/>
      <w:r w:rsidRPr="00040915">
        <w:rPr>
          <w:rFonts w:ascii="Helvetica" w:eastAsia="Times New Roman" w:hAnsi="Helvetica" w:cs="Helvetica"/>
          <w:i/>
          <w:iCs/>
          <w:color w:val="333333"/>
          <w:sz w:val="28"/>
          <w:szCs w:val="28"/>
          <w:lang w:eastAsia="nb-NO"/>
        </w:rPr>
        <w:t xml:space="preserve"> til bruk av dispergerings- og strandrensemiddel</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Bekjempning av akutt oljeforurensning ved bruk av dispergerings- eller strandrensemidler skal velges når dette totalt sett gir minst miljøskade, sammenliknet med andre bekjempningsmetoder. Vurdering av potensiell miljøskade skal dokumenteres. Ved bruk av midler som inneholder oljenedbrytende mikroorganismer, skal mulig miljøskade som følge av slik bruk dokumenteres spesielt.</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Påføringsutstyr for dispergerings- eller strandrensemiddel skal være praktisk </w:t>
      </w:r>
      <w:proofErr w:type="spellStart"/>
      <w:r w:rsidRPr="00040915">
        <w:rPr>
          <w:rFonts w:ascii="Helvetica" w:eastAsia="Times New Roman" w:hAnsi="Helvetica" w:cs="Helvetica"/>
          <w:color w:val="333333"/>
          <w:sz w:val="24"/>
          <w:szCs w:val="24"/>
          <w:lang w:eastAsia="nb-NO"/>
        </w:rPr>
        <w:t>prøvet</w:t>
      </w:r>
      <w:proofErr w:type="spellEnd"/>
      <w:r w:rsidRPr="00040915">
        <w:rPr>
          <w:rFonts w:ascii="Helvetica" w:eastAsia="Times New Roman" w:hAnsi="Helvetica" w:cs="Helvetica"/>
          <w:color w:val="333333"/>
          <w:sz w:val="24"/>
          <w:szCs w:val="24"/>
          <w:lang w:eastAsia="nb-NO"/>
        </w:rPr>
        <w:t xml:space="preserve"> med aktuelle midler. Dosering skal skje slik at middelet gir best mulig effekt.</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lastRenderedPageBreak/>
        <w:t>Dersom bruk av dispergerings- eller strandrensemidler ikke har forventet effekt, skal bruken stanses så raskt som mulig.</w:t>
      </w:r>
    </w:p>
    <w:p w:rsidR="00040915" w:rsidRDefault="00040915" w:rsidP="00040915">
      <w:pPr>
        <w:shd w:val="clear" w:color="auto" w:fill="FFFFFF"/>
        <w:spacing w:after="0" w:line="330" w:lineRule="atLeast"/>
        <w:rPr>
          <w:rFonts w:ascii="Helvetica" w:eastAsia="Times New Roman" w:hAnsi="Helvetica" w:cs="Helvetica"/>
          <w:color w:val="333333"/>
          <w:sz w:val="23"/>
          <w:szCs w:val="23"/>
          <w:lang w:eastAsia="nb-NO"/>
        </w:rPr>
      </w:pPr>
      <w:bookmarkStart w:id="14" w:name="§19-7"/>
      <w:bookmarkStart w:id="15" w:name="PARAGRAF_19-7"/>
      <w:bookmarkEnd w:id="14"/>
      <w:bookmarkEnd w:id="15"/>
    </w:p>
    <w:p w:rsidR="00040915" w:rsidRPr="00040915" w:rsidRDefault="00040915" w:rsidP="00040915">
      <w:pPr>
        <w:shd w:val="clear" w:color="auto" w:fill="FFFFFF"/>
        <w:spacing w:after="0" w:line="330" w:lineRule="atLeast"/>
        <w:rPr>
          <w:rFonts w:ascii="Helvetica" w:eastAsia="Times New Roman" w:hAnsi="Helvetica" w:cs="Helvetica"/>
          <w:color w:val="333333"/>
          <w:sz w:val="28"/>
          <w:szCs w:val="28"/>
          <w:lang w:eastAsia="nb-NO"/>
        </w:rPr>
      </w:pPr>
      <w:r w:rsidRPr="00040915">
        <w:rPr>
          <w:rFonts w:ascii="Helvetica" w:eastAsia="Times New Roman" w:hAnsi="Helvetica" w:cs="Helvetica"/>
          <w:color w:val="333333"/>
          <w:sz w:val="28"/>
          <w:szCs w:val="28"/>
          <w:lang w:eastAsia="nb-NO"/>
        </w:rPr>
        <w:t>§ 19-7</w:t>
      </w:r>
      <w:proofErr w:type="gramStart"/>
      <w:r w:rsidRPr="00040915">
        <w:rPr>
          <w:rFonts w:ascii="Helvetica" w:eastAsia="Times New Roman" w:hAnsi="Helvetica" w:cs="Helvetica"/>
          <w:color w:val="333333"/>
          <w:sz w:val="28"/>
          <w:szCs w:val="28"/>
          <w:lang w:eastAsia="nb-NO"/>
        </w:rPr>
        <w:t>.</w:t>
      </w:r>
      <w:r w:rsidRPr="00040915">
        <w:rPr>
          <w:rFonts w:ascii="Helvetica" w:eastAsia="Times New Roman" w:hAnsi="Helvetica" w:cs="Helvetica"/>
          <w:i/>
          <w:iCs/>
          <w:color w:val="333333"/>
          <w:sz w:val="28"/>
          <w:szCs w:val="28"/>
          <w:lang w:eastAsia="nb-NO"/>
        </w:rPr>
        <w:t>Endring</w:t>
      </w:r>
      <w:proofErr w:type="gramEnd"/>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Miljødirektoratet kan gjøre endringer i vedleggene.</w:t>
      </w:r>
    </w:p>
    <w:tbl>
      <w:tblPr>
        <w:tblW w:w="5000" w:type="pct"/>
        <w:tblCellMar>
          <w:top w:w="15" w:type="dxa"/>
          <w:left w:w="15" w:type="dxa"/>
          <w:bottom w:w="15" w:type="dxa"/>
          <w:right w:w="15" w:type="dxa"/>
        </w:tblCellMar>
        <w:tblLook w:val="04A0" w:firstRow="1" w:lastRow="0" w:firstColumn="1" w:lastColumn="0" w:noHBand="0" w:noVBand="1"/>
      </w:tblPr>
      <w:tblGrid>
        <w:gridCol w:w="38"/>
        <w:gridCol w:w="9064"/>
      </w:tblGrid>
      <w:tr w:rsidR="00040915" w:rsidRPr="00040915" w:rsidTr="00040915">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i/>
                <w:color w:val="333333"/>
                <w:sz w:val="23"/>
                <w:szCs w:val="23"/>
                <w:lang w:eastAsia="nb-NO"/>
              </w:rPr>
            </w:pP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i/>
                <w:color w:val="333333"/>
                <w:sz w:val="23"/>
                <w:szCs w:val="23"/>
                <w:lang w:eastAsia="nb-NO"/>
              </w:rPr>
            </w:pPr>
            <w:r w:rsidRPr="00040915">
              <w:rPr>
                <w:rFonts w:ascii="Helvetica" w:eastAsia="Times New Roman" w:hAnsi="Helvetica" w:cs="Helvetica"/>
                <w:i/>
                <w:color w:val="333333"/>
                <w:sz w:val="23"/>
                <w:szCs w:val="23"/>
                <w:lang w:eastAsia="nb-NO"/>
              </w:rPr>
              <w:t xml:space="preserve">Endret ved </w:t>
            </w:r>
            <w:hyperlink r:id="rId10" w:history="1">
              <w:r w:rsidRPr="00040915">
                <w:rPr>
                  <w:rFonts w:ascii="Helvetica" w:eastAsia="Times New Roman" w:hAnsi="Helvetica" w:cs="Helvetica"/>
                  <w:i/>
                  <w:color w:val="066CAB"/>
                  <w:sz w:val="23"/>
                  <w:szCs w:val="23"/>
                  <w:lang w:eastAsia="nb-NO"/>
                </w:rPr>
                <w:t xml:space="preserve">forskrifter </w:t>
              </w:r>
              <w:proofErr w:type="gramStart"/>
              <w:r w:rsidRPr="00040915">
                <w:rPr>
                  <w:rFonts w:ascii="Helvetica" w:eastAsia="Times New Roman" w:hAnsi="Helvetica" w:cs="Helvetica"/>
                  <w:i/>
                  <w:color w:val="066CAB"/>
                  <w:sz w:val="23"/>
                  <w:szCs w:val="23"/>
                  <w:lang w:eastAsia="nb-NO"/>
                </w:rPr>
                <w:t>21</w:t>
              </w:r>
              <w:proofErr w:type="gramEnd"/>
              <w:r w:rsidRPr="00040915">
                <w:rPr>
                  <w:rFonts w:ascii="Helvetica" w:eastAsia="Times New Roman" w:hAnsi="Helvetica" w:cs="Helvetica"/>
                  <w:i/>
                  <w:color w:val="066CAB"/>
                  <w:sz w:val="23"/>
                  <w:szCs w:val="23"/>
                  <w:lang w:eastAsia="nb-NO"/>
                </w:rPr>
                <w:t xml:space="preserve"> juni 2010 nr. 1073</w:t>
              </w:r>
            </w:hyperlink>
            <w:r w:rsidRPr="00040915">
              <w:rPr>
                <w:rFonts w:ascii="Helvetica" w:eastAsia="Times New Roman" w:hAnsi="Helvetica" w:cs="Helvetica"/>
                <w:i/>
                <w:color w:val="333333"/>
                <w:sz w:val="23"/>
                <w:szCs w:val="23"/>
                <w:lang w:eastAsia="nb-NO"/>
              </w:rPr>
              <w:t xml:space="preserve">, </w:t>
            </w:r>
            <w:hyperlink r:id="rId11" w:history="1">
              <w:r w:rsidRPr="00040915">
                <w:rPr>
                  <w:rFonts w:ascii="Helvetica" w:eastAsia="Times New Roman" w:hAnsi="Helvetica" w:cs="Helvetica"/>
                  <w:i/>
                  <w:color w:val="066CAB"/>
                  <w:sz w:val="23"/>
                  <w:szCs w:val="23"/>
                  <w:lang w:eastAsia="nb-NO"/>
                </w:rPr>
                <w:t>15 mars 2013 nr. 284</w:t>
              </w:r>
            </w:hyperlink>
            <w:r w:rsidRPr="00040915">
              <w:rPr>
                <w:rFonts w:ascii="Helvetica" w:eastAsia="Times New Roman" w:hAnsi="Helvetica" w:cs="Helvetica"/>
                <w:i/>
                <w:color w:val="333333"/>
                <w:sz w:val="23"/>
                <w:szCs w:val="23"/>
                <w:lang w:eastAsia="nb-NO"/>
              </w:rPr>
              <w:t xml:space="preserve"> (i kraft 1 juli 2013).</w:t>
            </w:r>
          </w:p>
        </w:tc>
      </w:tr>
    </w:tbl>
    <w:p w:rsidR="00040915" w:rsidRDefault="00040915" w:rsidP="00040915">
      <w:pPr>
        <w:shd w:val="clear" w:color="auto" w:fill="FFFFFF"/>
        <w:spacing w:before="158" w:after="158" w:line="330" w:lineRule="atLeast"/>
        <w:outlineLvl w:val="4"/>
        <w:rPr>
          <w:rFonts w:ascii="Helvetica" w:eastAsia="Times New Roman" w:hAnsi="Helvetica" w:cs="Helvetica"/>
          <w:color w:val="333333"/>
          <w:sz w:val="23"/>
          <w:szCs w:val="23"/>
          <w:lang w:eastAsia="nb-NO"/>
        </w:rPr>
      </w:pPr>
      <w:bookmarkStart w:id="16" w:name="kapVedlegg"/>
    </w:p>
    <w:p w:rsidR="00040915" w:rsidRPr="00040915" w:rsidRDefault="00040915" w:rsidP="00040915">
      <w:pPr>
        <w:shd w:val="clear" w:color="auto" w:fill="FFFFFF"/>
        <w:spacing w:before="158" w:after="158" w:line="330" w:lineRule="atLeast"/>
        <w:outlineLvl w:val="4"/>
        <w:rPr>
          <w:rFonts w:ascii="Helvetica" w:eastAsia="Times New Roman" w:hAnsi="Helvetica" w:cs="Helvetica"/>
          <w:color w:val="333333"/>
          <w:sz w:val="27"/>
          <w:szCs w:val="27"/>
          <w:lang w:eastAsia="nb-NO"/>
        </w:rPr>
      </w:pPr>
      <w:r w:rsidRPr="00040915">
        <w:rPr>
          <w:rFonts w:ascii="Helvetica" w:eastAsia="Times New Roman" w:hAnsi="Helvetica" w:cs="Helvetica"/>
          <w:color w:val="333333"/>
          <w:sz w:val="27"/>
          <w:szCs w:val="27"/>
          <w:lang w:eastAsia="nb-NO"/>
        </w:rPr>
        <w:t>Vedlegg 1: Akutt giftighet og effektivitet - tester og krav</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Alle tester skal utføres på laboratorier som er akkreditert i henhold til NS-EN-ISO-17025 og NS-EN-ISO-9100 eller kan dokumentere at de innehar systemer for dokumentasjon, sporbarhet og sammenlignende prøving av resultater tilsvarende god laboratoriepraksis, (GLP) eller standardene. </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1. </w:t>
      </w:r>
      <w:r w:rsidRPr="00040915">
        <w:rPr>
          <w:rFonts w:ascii="Helvetica" w:eastAsia="Times New Roman" w:hAnsi="Helvetica" w:cs="Helvetica"/>
          <w:i/>
          <w:iCs/>
          <w:color w:val="333333"/>
          <w:sz w:val="24"/>
          <w:szCs w:val="24"/>
          <w:lang w:eastAsia="nb-NO"/>
        </w:rPr>
        <w:t>Akutt giftighet</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For både dispergeringsmidler og strandrensemidler i kjemisk løsning skal det testes på planktonalger i henhold til prosedyren ISO/DIS 10253 (</w:t>
      </w:r>
      <w:proofErr w:type="spellStart"/>
      <w:r w:rsidRPr="00040915">
        <w:rPr>
          <w:rFonts w:ascii="Helvetica" w:eastAsia="Times New Roman" w:hAnsi="Helvetica" w:cs="Helvetica"/>
          <w:i/>
          <w:iCs/>
          <w:color w:val="333333"/>
          <w:sz w:val="24"/>
          <w:szCs w:val="24"/>
          <w:lang w:eastAsia="nb-NO"/>
        </w:rPr>
        <w:t>Skeletonema</w:t>
      </w:r>
      <w:proofErr w:type="spellEnd"/>
      <w:r w:rsidRPr="00040915">
        <w:rPr>
          <w:rFonts w:ascii="Helvetica" w:eastAsia="Times New Roman" w:hAnsi="Helvetica" w:cs="Helvetica"/>
          <w:i/>
          <w:iCs/>
          <w:color w:val="333333"/>
          <w:sz w:val="24"/>
          <w:szCs w:val="24"/>
          <w:lang w:eastAsia="nb-NO"/>
        </w:rPr>
        <w:t xml:space="preserve"> </w:t>
      </w:r>
      <w:proofErr w:type="spellStart"/>
      <w:r w:rsidRPr="00040915">
        <w:rPr>
          <w:rFonts w:ascii="Helvetica" w:eastAsia="Times New Roman" w:hAnsi="Helvetica" w:cs="Helvetica"/>
          <w:i/>
          <w:iCs/>
          <w:color w:val="333333"/>
          <w:sz w:val="24"/>
          <w:szCs w:val="24"/>
          <w:lang w:eastAsia="nb-NO"/>
        </w:rPr>
        <w:t>costatum</w:t>
      </w:r>
      <w:proofErr w:type="spellEnd"/>
      <w:r w:rsidRPr="00040915">
        <w:rPr>
          <w:rFonts w:ascii="Helvetica" w:eastAsia="Times New Roman" w:hAnsi="Helvetica" w:cs="Helvetica"/>
          <w:color w:val="333333"/>
          <w:sz w:val="24"/>
          <w:szCs w:val="24"/>
          <w:lang w:eastAsia="nb-NO"/>
        </w:rPr>
        <w:t>). </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2. </w:t>
      </w:r>
      <w:r w:rsidRPr="00040915">
        <w:rPr>
          <w:rFonts w:ascii="Helvetica" w:eastAsia="Times New Roman" w:hAnsi="Helvetica" w:cs="Helvetica"/>
          <w:i/>
          <w:iCs/>
          <w:color w:val="333333"/>
          <w:sz w:val="24"/>
          <w:szCs w:val="24"/>
          <w:lang w:eastAsia="nb-NO"/>
        </w:rPr>
        <w:t>Effektivitet</w:t>
      </w:r>
      <w:r w:rsidRPr="00040915">
        <w:rPr>
          <w:rFonts w:ascii="Helvetica" w:eastAsia="Times New Roman" w:hAnsi="Helvetica" w:cs="Helvetica"/>
          <w:color w:val="333333"/>
          <w:sz w:val="24"/>
          <w:szCs w:val="24"/>
          <w:lang w:eastAsia="nb-NO"/>
        </w:rPr>
        <w:t> </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A. </w:t>
      </w:r>
      <w:r w:rsidRPr="00040915">
        <w:rPr>
          <w:rFonts w:ascii="Helvetica" w:eastAsia="Times New Roman" w:hAnsi="Helvetica" w:cs="Helvetica"/>
          <w:i/>
          <w:iCs/>
          <w:color w:val="333333"/>
          <w:sz w:val="24"/>
          <w:szCs w:val="24"/>
          <w:lang w:eastAsia="nb-NO"/>
        </w:rPr>
        <w:t>For virksomheter som produserer eller behandler olje</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Tester:</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val="en-US" w:eastAsia="nb-NO"/>
        </w:rPr>
      </w:pPr>
      <w:r w:rsidRPr="00040915">
        <w:rPr>
          <w:rFonts w:ascii="Helvetica" w:eastAsia="Times New Roman" w:hAnsi="Helvetica" w:cs="Helvetica"/>
          <w:color w:val="333333"/>
          <w:sz w:val="24"/>
          <w:szCs w:val="24"/>
          <w:lang w:eastAsia="nb-NO"/>
        </w:rPr>
        <w:t>Det skal benyttes en IFP-test (</w:t>
      </w:r>
      <w:proofErr w:type="spellStart"/>
      <w:r w:rsidRPr="00040915">
        <w:rPr>
          <w:rFonts w:ascii="Helvetica" w:eastAsia="Times New Roman" w:hAnsi="Helvetica" w:cs="Helvetica"/>
          <w:color w:val="333333"/>
          <w:sz w:val="24"/>
          <w:szCs w:val="24"/>
          <w:lang w:eastAsia="nb-NO"/>
        </w:rPr>
        <w:t>Institute</w:t>
      </w:r>
      <w:proofErr w:type="spellEnd"/>
      <w:r w:rsidRPr="00040915">
        <w:rPr>
          <w:rFonts w:ascii="Helvetica" w:eastAsia="Times New Roman" w:hAnsi="Helvetica" w:cs="Helvetica"/>
          <w:color w:val="333333"/>
          <w:sz w:val="24"/>
          <w:szCs w:val="24"/>
          <w:lang w:eastAsia="nb-NO"/>
        </w:rPr>
        <w:t xml:space="preserve"> </w:t>
      </w:r>
      <w:proofErr w:type="spellStart"/>
      <w:r w:rsidRPr="00040915">
        <w:rPr>
          <w:rFonts w:ascii="Helvetica" w:eastAsia="Times New Roman" w:hAnsi="Helvetica" w:cs="Helvetica"/>
          <w:color w:val="333333"/>
          <w:sz w:val="24"/>
          <w:szCs w:val="24"/>
          <w:lang w:eastAsia="nb-NO"/>
        </w:rPr>
        <w:t>Francais</w:t>
      </w:r>
      <w:proofErr w:type="spellEnd"/>
      <w:r w:rsidRPr="00040915">
        <w:rPr>
          <w:rFonts w:ascii="Helvetica" w:eastAsia="Times New Roman" w:hAnsi="Helvetica" w:cs="Helvetica"/>
          <w:color w:val="333333"/>
          <w:sz w:val="24"/>
          <w:szCs w:val="24"/>
          <w:lang w:eastAsia="nb-NO"/>
        </w:rPr>
        <w:t xml:space="preserve"> du </w:t>
      </w:r>
      <w:proofErr w:type="spellStart"/>
      <w:r w:rsidRPr="00040915">
        <w:rPr>
          <w:rFonts w:ascii="Helvetica" w:eastAsia="Times New Roman" w:hAnsi="Helvetica" w:cs="Helvetica"/>
          <w:color w:val="333333"/>
          <w:sz w:val="24"/>
          <w:szCs w:val="24"/>
          <w:lang w:eastAsia="nb-NO"/>
        </w:rPr>
        <w:t>Petrole</w:t>
      </w:r>
      <w:proofErr w:type="spellEnd"/>
      <w:r w:rsidRPr="00040915">
        <w:rPr>
          <w:rFonts w:ascii="Helvetica" w:eastAsia="Times New Roman" w:hAnsi="Helvetica" w:cs="Helvetica"/>
          <w:color w:val="333333"/>
          <w:sz w:val="24"/>
          <w:szCs w:val="24"/>
          <w:lang w:eastAsia="nb-NO"/>
        </w:rPr>
        <w:t xml:space="preserve">) for sammenlikning av egnede dispergeringsmidler som står beskrevet i </w:t>
      </w:r>
      <w:proofErr w:type="spellStart"/>
      <w:r w:rsidRPr="00040915">
        <w:rPr>
          <w:rFonts w:ascii="Helvetica" w:eastAsia="Times New Roman" w:hAnsi="Helvetica" w:cs="Helvetica"/>
          <w:i/>
          <w:iCs/>
          <w:color w:val="333333"/>
          <w:sz w:val="24"/>
          <w:szCs w:val="24"/>
          <w:lang w:eastAsia="nb-NO"/>
        </w:rPr>
        <w:t>Bocard</w:t>
      </w:r>
      <w:proofErr w:type="spellEnd"/>
      <w:r w:rsidRPr="00040915">
        <w:rPr>
          <w:rFonts w:ascii="Helvetica" w:eastAsia="Times New Roman" w:hAnsi="Helvetica" w:cs="Helvetica"/>
          <w:i/>
          <w:iCs/>
          <w:color w:val="333333"/>
          <w:sz w:val="24"/>
          <w:szCs w:val="24"/>
          <w:lang w:eastAsia="nb-NO"/>
        </w:rPr>
        <w:t xml:space="preserve"> et el. </w:t>
      </w:r>
      <w:r w:rsidRPr="00040915">
        <w:rPr>
          <w:rFonts w:ascii="Helvetica" w:eastAsia="Times New Roman" w:hAnsi="Helvetica" w:cs="Helvetica"/>
          <w:i/>
          <w:iCs/>
          <w:color w:val="333333"/>
          <w:sz w:val="24"/>
          <w:szCs w:val="24"/>
          <w:lang w:val="en-US" w:eastAsia="nb-NO"/>
        </w:rPr>
        <w:t>(1984): Chemical oil dispersion in trials at sea and in laboratory tests; the key role of dilution processes. In: Oil Spill Chemical Dispersants: Research, Experience and Recommendations, STP 840, Tom E. Allen, Ed., American Society for Testing and Materials, Philadelphia, pp. 125-142, 1984.</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val="en-US" w:eastAsia="nb-NO"/>
        </w:rPr>
      </w:pPr>
      <w:proofErr w:type="spellStart"/>
      <w:r w:rsidRPr="00040915">
        <w:rPr>
          <w:rFonts w:ascii="Helvetica" w:eastAsia="Times New Roman" w:hAnsi="Helvetica" w:cs="Helvetica"/>
          <w:color w:val="333333"/>
          <w:sz w:val="24"/>
          <w:szCs w:val="24"/>
          <w:lang w:val="en-US" w:eastAsia="nb-NO"/>
        </w:rPr>
        <w:t>Ved</w:t>
      </w:r>
      <w:proofErr w:type="spellEnd"/>
      <w:r w:rsidRPr="00040915">
        <w:rPr>
          <w:rFonts w:ascii="Helvetica" w:eastAsia="Times New Roman" w:hAnsi="Helvetica" w:cs="Helvetica"/>
          <w:color w:val="333333"/>
          <w:sz w:val="24"/>
          <w:szCs w:val="24"/>
          <w:lang w:val="en-US" w:eastAsia="nb-NO"/>
        </w:rPr>
        <w:t xml:space="preserve"> testing </w:t>
      </w:r>
      <w:proofErr w:type="spellStart"/>
      <w:r w:rsidRPr="00040915">
        <w:rPr>
          <w:rFonts w:ascii="Helvetica" w:eastAsia="Times New Roman" w:hAnsi="Helvetica" w:cs="Helvetica"/>
          <w:color w:val="333333"/>
          <w:sz w:val="24"/>
          <w:szCs w:val="24"/>
          <w:lang w:val="en-US" w:eastAsia="nb-NO"/>
        </w:rPr>
        <w:t>av</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oljens</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dispergerbarhet</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ved</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ulike</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forvitringsgrader</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skal</w:t>
      </w:r>
      <w:proofErr w:type="spellEnd"/>
      <w:r w:rsidRPr="00040915">
        <w:rPr>
          <w:rFonts w:ascii="Helvetica" w:eastAsia="Times New Roman" w:hAnsi="Helvetica" w:cs="Helvetica"/>
          <w:color w:val="333333"/>
          <w:sz w:val="24"/>
          <w:szCs w:val="24"/>
          <w:lang w:val="en-US" w:eastAsia="nb-NO"/>
        </w:rPr>
        <w:t xml:space="preserve"> IFP-</w:t>
      </w:r>
      <w:proofErr w:type="spellStart"/>
      <w:r w:rsidRPr="00040915">
        <w:rPr>
          <w:rFonts w:ascii="Helvetica" w:eastAsia="Times New Roman" w:hAnsi="Helvetica" w:cs="Helvetica"/>
          <w:color w:val="333333"/>
          <w:sz w:val="24"/>
          <w:szCs w:val="24"/>
          <w:lang w:val="en-US" w:eastAsia="nb-NO"/>
        </w:rPr>
        <w:t>testen</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benyttes</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i</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kombinasjon</w:t>
      </w:r>
      <w:proofErr w:type="spellEnd"/>
      <w:r w:rsidRPr="00040915">
        <w:rPr>
          <w:rFonts w:ascii="Helvetica" w:eastAsia="Times New Roman" w:hAnsi="Helvetica" w:cs="Helvetica"/>
          <w:color w:val="333333"/>
          <w:sz w:val="24"/>
          <w:szCs w:val="24"/>
          <w:lang w:val="en-US" w:eastAsia="nb-NO"/>
        </w:rPr>
        <w:t xml:space="preserve"> med </w:t>
      </w:r>
      <w:proofErr w:type="spellStart"/>
      <w:r w:rsidRPr="00040915">
        <w:rPr>
          <w:rFonts w:ascii="Helvetica" w:eastAsia="Times New Roman" w:hAnsi="Helvetica" w:cs="Helvetica"/>
          <w:color w:val="333333"/>
          <w:sz w:val="24"/>
          <w:szCs w:val="24"/>
          <w:lang w:val="en-US" w:eastAsia="nb-NO"/>
        </w:rPr>
        <w:t>en</w:t>
      </w:r>
      <w:proofErr w:type="spellEnd"/>
      <w:r w:rsidRPr="00040915">
        <w:rPr>
          <w:rFonts w:ascii="Helvetica" w:eastAsia="Times New Roman" w:hAnsi="Helvetica" w:cs="Helvetica"/>
          <w:color w:val="333333"/>
          <w:sz w:val="24"/>
          <w:szCs w:val="24"/>
          <w:lang w:val="en-US" w:eastAsia="nb-NO"/>
        </w:rPr>
        <w:t xml:space="preserve"> MNS-test (Mackay, Nadeau and </w:t>
      </w:r>
      <w:proofErr w:type="spellStart"/>
      <w:r w:rsidRPr="00040915">
        <w:rPr>
          <w:rFonts w:ascii="Helvetica" w:eastAsia="Times New Roman" w:hAnsi="Helvetica" w:cs="Helvetica"/>
          <w:color w:val="333333"/>
          <w:sz w:val="24"/>
          <w:szCs w:val="24"/>
          <w:lang w:val="en-US" w:eastAsia="nb-NO"/>
        </w:rPr>
        <w:t>Steelmann</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beskrevet</w:t>
      </w:r>
      <w:proofErr w:type="spellEnd"/>
      <w:r w:rsidRPr="00040915">
        <w:rPr>
          <w:rFonts w:ascii="Helvetica" w:eastAsia="Times New Roman" w:hAnsi="Helvetica" w:cs="Helvetica"/>
          <w:color w:val="333333"/>
          <w:sz w:val="24"/>
          <w:szCs w:val="24"/>
          <w:lang w:val="en-US" w:eastAsia="nb-NO"/>
        </w:rPr>
        <w:t xml:space="preserve"> </w:t>
      </w:r>
      <w:proofErr w:type="spellStart"/>
      <w:r w:rsidRPr="00040915">
        <w:rPr>
          <w:rFonts w:ascii="Helvetica" w:eastAsia="Times New Roman" w:hAnsi="Helvetica" w:cs="Helvetica"/>
          <w:color w:val="333333"/>
          <w:sz w:val="24"/>
          <w:szCs w:val="24"/>
          <w:lang w:val="en-US" w:eastAsia="nb-NO"/>
        </w:rPr>
        <w:t>i</w:t>
      </w:r>
      <w:proofErr w:type="spellEnd"/>
      <w:r w:rsidRPr="00040915">
        <w:rPr>
          <w:rFonts w:ascii="Helvetica" w:eastAsia="Times New Roman" w:hAnsi="Helvetica" w:cs="Helvetica"/>
          <w:color w:val="333333"/>
          <w:sz w:val="24"/>
          <w:szCs w:val="24"/>
          <w:lang w:val="en-US" w:eastAsia="nb-NO"/>
        </w:rPr>
        <w:t xml:space="preserve"> </w:t>
      </w:r>
      <w:r w:rsidRPr="00040915">
        <w:rPr>
          <w:rFonts w:ascii="Helvetica" w:eastAsia="Times New Roman" w:hAnsi="Helvetica" w:cs="Helvetica"/>
          <w:i/>
          <w:iCs/>
          <w:color w:val="333333"/>
          <w:sz w:val="24"/>
          <w:szCs w:val="24"/>
          <w:lang w:val="en-US" w:eastAsia="nb-NO"/>
        </w:rPr>
        <w:t xml:space="preserve">Mackay, D., Szeto, </w:t>
      </w:r>
      <w:proofErr w:type="gramStart"/>
      <w:r w:rsidRPr="00040915">
        <w:rPr>
          <w:rFonts w:ascii="Helvetica" w:eastAsia="Times New Roman" w:hAnsi="Helvetica" w:cs="Helvetica"/>
          <w:i/>
          <w:iCs/>
          <w:color w:val="333333"/>
          <w:sz w:val="24"/>
          <w:szCs w:val="24"/>
          <w:lang w:val="en-US" w:eastAsia="nb-NO"/>
        </w:rPr>
        <w:t>F</w:t>
      </w:r>
      <w:proofErr w:type="gramEnd"/>
      <w:r w:rsidRPr="00040915">
        <w:rPr>
          <w:rFonts w:ascii="Helvetica" w:eastAsia="Times New Roman" w:hAnsi="Helvetica" w:cs="Helvetica"/>
          <w:i/>
          <w:iCs/>
          <w:color w:val="333333"/>
          <w:sz w:val="24"/>
          <w:szCs w:val="24"/>
          <w:lang w:val="en-US" w:eastAsia="nb-NO"/>
        </w:rPr>
        <w:t xml:space="preserve">. 1981: Effectiveness of oil spill dispersants - development of a laboratory method and results for selected commercial products. </w:t>
      </w:r>
      <w:proofErr w:type="gramStart"/>
      <w:r w:rsidRPr="00040915">
        <w:rPr>
          <w:rFonts w:ascii="Helvetica" w:eastAsia="Times New Roman" w:hAnsi="Helvetica" w:cs="Helvetica"/>
          <w:i/>
          <w:iCs/>
          <w:color w:val="333333"/>
          <w:sz w:val="24"/>
          <w:szCs w:val="24"/>
          <w:lang w:val="en-US" w:eastAsia="nb-NO"/>
        </w:rPr>
        <w:t>Institute of Environmental Studies, University of Toronto, Publ. no.</w:t>
      </w:r>
      <w:proofErr w:type="gramEnd"/>
      <w:r w:rsidRPr="00040915">
        <w:rPr>
          <w:rFonts w:ascii="Helvetica" w:eastAsia="Times New Roman" w:hAnsi="Helvetica" w:cs="Helvetica"/>
          <w:i/>
          <w:iCs/>
          <w:color w:val="333333"/>
          <w:sz w:val="24"/>
          <w:szCs w:val="24"/>
          <w:lang w:val="en-US" w:eastAsia="nb-NO"/>
        </w:rPr>
        <w:t xml:space="preserve"> </w:t>
      </w:r>
      <w:proofErr w:type="gramStart"/>
      <w:r w:rsidRPr="00040915">
        <w:rPr>
          <w:rFonts w:ascii="Helvetica" w:eastAsia="Times New Roman" w:hAnsi="Helvetica" w:cs="Helvetica"/>
          <w:i/>
          <w:iCs/>
          <w:color w:val="333333"/>
          <w:sz w:val="24"/>
          <w:szCs w:val="24"/>
          <w:lang w:val="en-US" w:eastAsia="nb-NO"/>
        </w:rPr>
        <w:t>EE-165.</w:t>
      </w:r>
      <w:proofErr w:type="gramEnd"/>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Testprosedyrer er beskrevet i vedlegg 2. </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B. </w:t>
      </w:r>
      <w:r w:rsidRPr="00040915">
        <w:rPr>
          <w:rFonts w:ascii="Helvetica" w:eastAsia="Times New Roman" w:hAnsi="Helvetica" w:cs="Helvetica"/>
          <w:i/>
          <w:iCs/>
          <w:color w:val="333333"/>
          <w:sz w:val="24"/>
          <w:szCs w:val="24"/>
          <w:lang w:eastAsia="nb-NO"/>
        </w:rPr>
        <w:t>For virksomheter som ikke produserer eller behandler olje</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Test:</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val="en-US" w:eastAsia="nb-NO"/>
        </w:rPr>
      </w:pPr>
      <w:r w:rsidRPr="00040915">
        <w:rPr>
          <w:rFonts w:ascii="Helvetica" w:eastAsia="Times New Roman" w:hAnsi="Helvetica" w:cs="Helvetica"/>
          <w:color w:val="333333"/>
          <w:sz w:val="24"/>
          <w:szCs w:val="24"/>
          <w:lang w:eastAsia="nb-NO"/>
        </w:rPr>
        <w:t xml:space="preserve">Det skal benyttes en WSL-test (Warren Spring Laboratory) beskrevet i </w:t>
      </w:r>
      <w:proofErr w:type="spellStart"/>
      <w:r w:rsidRPr="00040915">
        <w:rPr>
          <w:rFonts w:ascii="Helvetica" w:eastAsia="Times New Roman" w:hAnsi="Helvetica" w:cs="Helvetica"/>
          <w:color w:val="333333"/>
          <w:sz w:val="24"/>
          <w:szCs w:val="24"/>
          <w:lang w:eastAsia="nb-NO"/>
        </w:rPr>
        <w:t>Martinelli</w:t>
      </w:r>
      <w:proofErr w:type="spellEnd"/>
      <w:r w:rsidRPr="00040915">
        <w:rPr>
          <w:rFonts w:ascii="Helvetica" w:eastAsia="Times New Roman" w:hAnsi="Helvetica" w:cs="Helvetica"/>
          <w:color w:val="333333"/>
          <w:sz w:val="24"/>
          <w:szCs w:val="24"/>
          <w:lang w:eastAsia="nb-NO"/>
        </w:rPr>
        <w:t xml:space="preserve">, F.N., 1984: The status </w:t>
      </w:r>
      <w:proofErr w:type="spellStart"/>
      <w:r w:rsidRPr="00040915">
        <w:rPr>
          <w:rFonts w:ascii="Helvetica" w:eastAsia="Times New Roman" w:hAnsi="Helvetica" w:cs="Helvetica"/>
          <w:color w:val="333333"/>
          <w:sz w:val="24"/>
          <w:szCs w:val="24"/>
          <w:lang w:eastAsia="nb-NO"/>
        </w:rPr>
        <w:t>of</w:t>
      </w:r>
      <w:proofErr w:type="spellEnd"/>
      <w:r w:rsidRPr="00040915">
        <w:rPr>
          <w:rFonts w:ascii="Helvetica" w:eastAsia="Times New Roman" w:hAnsi="Helvetica" w:cs="Helvetica"/>
          <w:color w:val="333333"/>
          <w:sz w:val="24"/>
          <w:szCs w:val="24"/>
          <w:lang w:eastAsia="nb-NO"/>
        </w:rPr>
        <w:t xml:space="preserve"> </w:t>
      </w:r>
      <w:proofErr w:type="spellStart"/>
      <w:r w:rsidRPr="00040915">
        <w:rPr>
          <w:rFonts w:ascii="Helvetica" w:eastAsia="Times New Roman" w:hAnsi="Helvetica" w:cs="Helvetica"/>
          <w:color w:val="333333"/>
          <w:sz w:val="24"/>
          <w:szCs w:val="24"/>
          <w:lang w:eastAsia="nb-NO"/>
        </w:rPr>
        <w:t>the</w:t>
      </w:r>
      <w:proofErr w:type="spellEnd"/>
      <w:r w:rsidRPr="00040915">
        <w:rPr>
          <w:rFonts w:ascii="Helvetica" w:eastAsia="Times New Roman" w:hAnsi="Helvetica" w:cs="Helvetica"/>
          <w:color w:val="333333"/>
          <w:sz w:val="24"/>
          <w:szCs w:val="24"/>
          <w:lang w:eastAsia="nb-NO"/>
        </w:rPr>
        <w:t xml:space="preserve"> Warren Spring </w:t>
      </w:r>
      <w:proofErr w:type="spellStart"/>
      <w:r w:rsidRPr="00040915">
        <w:rPr>
          <w:rFonts w:ascii="Helvetica" w:eastAsia="Times New Roman" w:hAnsi="Helvetica" w:cs="Helvetica"/>
          <w:color w:val="333333"/>
          <w:sz w:val="24"/>
          <w:szCs w:val="24"/>
          <w:lang w:eastAsia="nb-NO"/>
        </w:rPr>
        <w:t>Laboratory's</w:t>
      </w:r>
      <w:proofErr w:type="spellEnd"/>
      <w:r w:rsidRPr="00040915">
        <w:rPr>
          <w:rFonts w:ascii="Helvetica" w:eastAsia="Times New Roman" w:hAnsi="Helvetica" w:cs="Helvetica"/>
          <w:color w:val="333333"/>
          <w:sz w:val="24"/>
          <w:szCs w:val="24"/>
          <w:lang w:eastAsia="nb-NO"/>
        </w:rPr>
        <w:t xml:space="preserve"> Rolling flask test. </w:t>
      </w:r>
      <w:r w:rsidRPr="00040915">
        <w:rPr>
          <w:rFonts w:ascii="Helvetica" w:eastAsia="Times New Roman" w:hAnsi="Helvetica" w:cs="Helvetica"/>
          <w:color w:val="333333"/>
          <w:sz w:val="24"/>
          <w:szCs w:val="24"/>
          <w:lang w:val="en-US" w:eastAsia="nb-NO"/>
        </w:rPr>
        <w:t xml:space="preserve">In: Oil Spill Chemical Dispersants: Research, Experience and Recommendations. </w:t>
      </w:r>
      <w:proofErr w:type="gramStart"/>
      <w:r w:rsidRPr="00040915">
        <w:rPr>
          <w:rFonts w:ascii="Helvetica" w:eastAsia="Times New Roman" w:hAnsi="Helvetica" w:cs="Helvetica"/>
          <w:color w:val="333333"/>
          <w:sz w:val="24"/>
          <w:szCs w:val="24"/>
          <w:lang w:val="en-US" w:eastAsia="nb-NO"/>
        </w:rPr>
        <w:t>STP 840.</w:t>
      </w:r>
      <w:proofErr w:type="gramEnd"/>
      <w:r w:rsidRPr="00040915">
        <w:rPr>
          <w:rFonts w:ascii="Helvetica" w:eastAsia="Times New Roman" w:hAnsi="Helvetica" w:cs="Helvetica"/>
          <w:color w:val="333333"/>
          <w:sz w:val="24"/>
          <w:szCs w:val="24"/>
          <w:lang w:val="en-US" w:eastAsia="nb-NO"/>
        </w:rPr>
        <w:t xml:space="preserve"> </w:t>
      </w:r>
      <w:proofErr w:type="gramStart"/>
      <w:r w:rsidRPr="00040915">
        <w:rPr>
          <w:rFonts w:ascii="Helvetica" w:eastAsia="Times New Roman" w:hAnsi="Helvetica" w:cs="Helvetica"/>
          <w:color w:val="333333"/>
          <w:sz w:val="24"/>
          <w:szCs w:val="24"/>
          <w:lang w:val="en-US" w:eastAsia="nb-NO"/>
        </w:rPr>
        <w:t>Tom E. Allen, Ed. American Society for Testing and Materials, Philadelphia, pp. 55-68, 1984.</w:t>
      </w:r>
      <w:proofErr w:type="gramEnd"/>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Testprosedyrer er beskrevet i vedlegg 2. </w:t>
      </w:r>
      <w:bookmarkStart w:id="17" w:name="_GoBack"/>
      <w:bookmarkEnd w:id="17"/>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i/>
          <w:iCs/>
          <w:color w:val="333333"/>
          <w:sz w:val="24"/>
          <w:szCs w:val="24"/>
          <w:lang w:eastAsia="nb-NO"/>
        </w:rPr>
        <w:lastRenderedPageBreak/>
        <w:t>Både for 2A og 2B gjelder følgende:</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Det skal gå klart fram av testdokumentasjonen for begge typer tester om dispergerings- eller strandrensemidlet er testet for normale eller lave salinitetsforhold. Det er ikke satt noen bestemt grenseverdi for midlets effektivitet, da denne varierer med oljetypen.</w:t>
      </w:r>
    </w:p>
    <w:tbl>
      <w:tblPr>
        <w:tblW w:w="5000" w:type="pct"/>
        <w:tblCellMar>
          <w:top w:w="15" w:type="dxa"/>
          <w:left w:w="15" w:type="dxa"/>
          <w:bottom w:w="15" w:type="dxa"/>
          <w:right w:w="15" w:type="dxa"/>
        </w:tblCellMar>
        <w:tblLook w:val="04A0" w:firstRow="1" w:lastRow="0" w:firstColumn="1" w:lastColumn="0" w:noHBand="0" w:noVBand="1"/>
      </w:tblPr>
      <w:tblGrid>
        <w:gridCol w:w="64"/>
        <w:gridCol w:w="9038"/>
      </w:tblGrid>
      <w:tr w:rsidR="00040915" w:rsidRPr="00040915" w:rsidTr="00040915">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i/>
                <w:color w:val="333333"/>
                <w:sz w:val="23"/>
                <w:szCs w:val="23"/>
                <w:lang w:eastAsia="nb-NO"/>
              </w:rPr>
            </w:pP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i/>
                <w:color w:val="333333"/>
                <w:sz w:val="23"/>
                <w:szCs w:val="23"/>
                <w:lang w:eastAsia="nb-NO"/>
              </w:rPr>
            </w:pPr>
            <w:r w:rsidRPr="00040915">
              <w:rPr>
                <w:rFonts w:ascii="Helvetica" w:eastAsia="Times New Roman" w:hAnsi="Helvetica" w:cs="Helvetica"/>
                <w:i/>
                <w:color w:val="333333"/>
                <w:sz w:val="23"/>
                <w:szCs w:val="23"/>
                <w:lang w:eastAsia="nb-NO"/>
              </w:rPr>
              <w:t xml:space="preserve">Kapittel 19 endret ved </w:t>
            </w:r>
            <w:hyperlink r:id="rId12" w:history="1">
              <w:r w:rsidRPr="00040915">
                <w:rPr>
                  <w:rFonts w:ascii="Helvetica" w:eastAsia="Times New Roman" w:hAnsi="Helvetica" w:cs="Helvetica"/>
                  <w:i/>
                  <w:color w:val="066CAB"/>
                  <w:sz w:val="23"/>
                  <w:szCs w:val="23"/>
                  <w:lang w:eastAsia="nb-NO"/>
                </w:rPr>
                <w:t xml:space="preserve">forskrift 5 </w:t>
              </w:r>
              <w:proofErr w:type="spellStart"/>
              <w:r w:rsidRPr="00040915">
                <w:rPr>
                  <w:rFonts w:ascii="Helvetica" w:eastAsia="Times New Roman" w:hAnsi="Helvetica" w:cs="Helvetica"/>
                  <w:i/>
                  <w:color w:val="066CAB"/>
                  <w:sz w:val="23"/>
                  <w:szCs w:val="23"/>
                  <w:lang w:eastAsia="nb-NO"/>
                </w:rPr>
                <w:t>feb</w:t>
              </w:r>
              <w:proofErr w:type="spellEnd"/>
              <w:r w:rsidRPr="00040915">
                <w:rPr>
                  <w:rFonts w:ascii="Helvetica" w:eastAsia="Times New Roman" w:hAnsi="Helvetica" w:cs="Helvetica"/>
                  <w:i/>
                  <w:color w:val="066CAB"/>
                  <w:sz w:val="23"/>
                  <w:szCs w:val="23"/>
                  <w:lang w:eastAsia="nb-NO"/>
                </w:rPr>
                <w:t xml:space="preserve"> 2009 nr. 186</w:t>
              </w:r>
            </w:hyperlink>
            <w:r w:rsidRPr="00040915">
              <w:rPr>
                <w:rFonts w:ascii="Helvetica" w:eastAsia="Times New Roman" w:hAnsi="Helvetica" w:cs="Helvetica"/>
                <w:i/>
                <w:color w:val="333333"/>
                <w:sz w:val="23"/>
                <w:szCs w:val="23"/>
                <w:lang w:eastAsia="nb-NO"/>
              </w:rPr>
              <w:t>.</w:t>
            </w:r>
          </w:p>
          <w:p w:rsidR="00040915" w:rsidRPr="00040915" w:rsidRDefault="00040915" w:rsidP="00040915">
            <w:pPr>
              <w:spacing w:after="0" w:line="240" w:lineRule="auto"/>
              <w:rPr>
                <w:rFonts w:ascii="Helvetica" w:eastAsia="Times New Roman" w:hAnsi="Helvetica" w:cs="Helvetica"/>
                <w:i/>
                <w:color w:val="333333"/>
                <w:sz w:val="23"/>
                <w:szCs w:val="23"/>
                <w:lang w:eastAsia="nb-NO"/>
              </w:rPr>
            </w:pPr>
          </w:p>
        </w:tc>
      </w:tr>
    </w:tbl>
    <w:bookmarkEnd w:id="16"/>
    <w:p w:rsidR="00040915" w:rsidRPr="00040915" w:rsidRDefault="00040915" w:rsidP="00040915">
      <w:pPr>
        <w:shd w:val="clear" w:color="auto" w:fill="FFFFFF"/>
        <w:spacing w:after="0" w:line="330" w:lineRule="atLeast"/>
        <w:outlineLvl w:val="4"/>
        <w:rPr>
          <w:rFonts w:ascii="Helvetica" w:eastAsia="Times New Roman" w:hAnsi="Helvetica" w:cs="Helvetica"/>
          <w:color w:val="333333"/>
          <w:sz w:val="27"/>
          <w:szCs w:val="27"/>
          <w:lang w:eastAsia="nb-NO"/>
        </w:rPr>
      </w:pPr>
      <w:r w:rsidRPr="00040915">
        <w:rPr>
          <w:rFonts w:ascii="Helvetica" w:eastAsia="Times New Roman" w:hAnsi="Helvetica" w:cs="Helvetica"/>
          <w:color w:val="333333"/>
          <w:sz w:val="27"/>
          <w:szCs w:val="27"/>
          <w:lang w:eastAsia="nb-NO"/>
        </w:rPr>
        <w:t>Vedlegg 2: Prosedyrer for testing av dispergeringsmidlers/</w:t>
      </w:r>
      <w:proofErr w:type="spellStart"/>
      <w:r w:rsidRPr="00040915">
        <w:rPr>
          <w:rFonts w:ascii="Helvetica" w:eastAsia="Times New Roman" w:hAnsi="Helvetica" w:cs="Helvetica"/>
          <w:color w:val="333333"/>
          <w:sz w:val="27"/>
          <w:szCs w:val="27"/>
          <w:lang w:eastAsia="nb-NO"/>
        </w:rPr>
        <w:t>strandresemidlers</w:t>
      </w:r>
      <w:proofErr w:type="spellEnd"/>
      <w:r w:rsidRPr="00040915">
        <w:rPr>
          <w:rFonts w:ascii="Helvetica" w:eastAsia="Times New Roman" w:hAnsi="Helvetica" w:cs="Helvetica"/>
          <w:color w:val="333333"/>
          <w:sz w:val="27"/>
          <w:szCs w:val="27"/>
          <w:lang w:eastAsia="nb-NO"/>
        </w:rPr>
        <w:t xml:space="preserve"> effektivitet </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A. </w:t>
      </w:r>
      <w:r w:rsidRPr="00040915">
        <w:rPr>
          <w:rFonts w:ascii="Helvetica" w:eastAsia="Times New Roman" w:hAnsi="Helvetica" w:cs="Helvetica"/>
          <w:i/>
          <w:iCs/>
          <w:color w:val="333333"/>
          <w:sz w:val="24"/>
          <w:szCs w:val="24"/>
          <w:lang w:eastAsia="nb-NO"/>
        </w:rPr>
        <w:t>Virksomheter som produserer eller behandler olje</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For de virksomhetene som produserer, behandler eller lagrer definerte oljetyper, og som samtidig planlegger bruk av dispergeringsmidler i sin beredskap, skal effektivitetstesten utføres med denne eller disse oljene. Dersom antall oljetyper ved samme virksomhet er så stort at det ved effektivitetstesting av samtlige oljer vil påføre virksomheten en urimelig stor kostnad, skal det testes på et utvalg av de oljetypene som mest sannsynlig blir gjenstand for dispergering. For å optimalisere virksomhetens dispergeringsberedskap utføres først en utvelgelse av egnede dispergeringsmidler med virksomhetens aktuelle oljetype, og under aktuelle betingelser på stedet (temperatur, og salinitet). </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i/>
          <w:iCs/>
          <w:color w:val="333333"/>
          <w:sz w:val="24"/>
          <w:szCs w:val="24"/>
          <w:lang w:eastAsia="nb-NO"/>
        </w:rPr>
        <w:t>Testprogram for produktoptimalisering</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Produktoptimalisering omfatter:</w:t>
      </w:r>
    </w:p>
    <w:tbl>
      <w:tblPr>
        <w:tblW w:w="5000" w:type="pct"/>
        <w:tblCellMar>
          <w:top w:w="15" w:type="dxa"/>
          <w:left w:w="15" w:type="dxa"/>
          <w:bottom w:w="15" w:type="dxa"/>
          <w:right w:w="15" w:type="dxa"/>
        </w:tblCellMar>
        <w:tblLook w:val="04A0" w:firstRow="1" w:lastRow="0" w:firstColumn="1" w:lastColumn="0" w:noHBand="0" w:noVBand="1"/>
      </w:tblPr>
      <w:tblGrid>
        <w:gridCol w:w="231"/>
        <w:gridCol w:w="8871"/>
      </w:tblGrid>
      <w:tr w:rsidR="00040915" w:rsidRPr="00040915" w:rsidTr="00040915">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1.</w:t>
            </w: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Utvelgelse av produkter for screening bør inkludere produkter som kan dokumentere høy effektivitet fra tidligere studier. For oljetyper av lignende kategorier som tidligere er studert bør det være tilstrekkelig å referere til eksisterende screeningsstudier. De utvalgte produktene testes på en 200 °C/50 % syntetisk forvitret emulsjon </w:t>
            </w:r>
            <w:r w:rsidRPr="00040915">
              <w:rPr>
                <w:rFonts w:ascii="Helvetica" w:eastAsia="Times New Roman" w:hAnsi="Helvetica" w:cs="Helvetica"/>
                <w:color w:val="333333"/>
                <w:sz w:val="24"/>
                <w:szCs w:val="24"/>
                <w:vertAlign w:val="superscript"/>
                <w:lang w:eastAsia="nb-NO"/>
              </w:rPr>
              <w:t>​1</w:t>
            </w:r>
            <w:r w:rsidRPr="00040915">
              <w:rPr>
                <w:rFonts w:ascii="Helvetica" w:eastAsia="Times New Roman" w:hAnsi="Helvetica" w:cs="Helvetica"/>
                <w:color w:val="333333"/>
                <w:sz w:val="24"/>
                <w:szCs w:val="24"/>
                <w:lang w:eastAsia="nb-NO"/>
              </w:rPr>
              <w:t xml:space="preserve"> av den aktuelle oljen med IFP-testen. Det skal gjennomføres minimum 2 parallelle tester for hvert enkelt produkt, med doseringsforhold 1:25.</w:t>
            </w:r>
          </w:p>
        </w:tc>
      </w:tr>
    </w:tbl>
    <w:p w:rsidR="00040915" w:rsidRPr="00040915" w:rsidRDefault="00040915" w:rsidP="00040915">
      <w:pPr>
        <w:shd w:val="clear" w:color="auto" w:fill="FFFFFF"/>
        <w:spacing w:after="0" w:line="330" w:lineRule="atLeast"/>
        <w:rPr>
          <w:rFonts w:ascii="Helvetica" w:eastAsia="Times New Roman" w:hAnsi="Helvetica" w:cs="Helvetica"/>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31"/>
        <w:gridCol w:w="8871"/>
      </w:tblGrid>
      <w:tr w:rsidR="00040915" w:rsidRPr="00040915" w:rsidTr="00040915">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2.</w:t>
            </w: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De tre beste produktene gjennomfører IFP-testen i forskjellige doseringsforhold (for eksempel; 1:25, 1:50 og 1:100) på en 200 °C/50 % emulsjon av den aktuelle oljen. Det skal gjennomføres minimum 2 paralleller.</w:t>
            </w:r>
          </w:p>
        </w:tc>
      </w:tr>
    </w:tbl>
    <w:p w:rsidR="00040915" w:rsidRPr="00040915" w:rsidRDefault="00040915" w:rsidP="00040915">
      <w:pPr>
        <w:shd w:val="clear" w:color="auto" w:fill="FFFFFF"/>
        <w:spacing w:after="0" w:line="330" w:lineRule="atLeast"/>
        <w:rPr>
          <w:rFonts w:ascii="Helvetica" w:eastAsia="Times New Roman" w:hAnsi="Helvetica" w:cs="Helvetica"/>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231"/>
        <w:gridCol w:w="8871"/>
      </w:tblGrid>
      <w:tr w:rsidR="00040915" w:rsidRPr="00040915" w:rsidTr="00040915">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3.</w:t>
            </w: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De tre beste produktene testes ved alternativ temperatur og salinitet dersom det er relevant. De samme produktene testes på en 200 °C/50 % emulsjon av oljen med IFP-testen. Det skal gjennomføres minimum 2 parallelle tester for hvert enkelt produkt, med doseringsforhold 1:25.</w:t>
            </w:r>
          </w:p>
        </w:tc>
      </w:tr>
    </w:tbl>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En endelig fastsetting av doseringsforholdet er oljespesifikk og kan først gjennomføres når oljetypen er kjent.</w:t>
      </w:r>
    </w:p>
    <w:tbl>
      <w:tblPr>
        <w:tblW w:w="5000" w:type="pct"/>
        <w:tblCellMar>
          <w:top w:w="15" w:type="dxa"/>
          <w:left w:w="15" w:type="dxa"/>
          <w:bottom w:w="15" w:type="dxa"/>
          <w:right w:w="15" w:type="dxa"/>
        </w:tblCellMar>
        <w:tblLook w:val="04A0" w:firstRow="1" w:lastRow="0" w:firstColumn="1" w:lastColumn="0" w:noHBand="0" w:noVBand="1"/>
      </w:tblPr>
      <w:tblGrid>
        <w:gridCol w:w="164"/>
        <w:gridCol w:w="8938"/>
      </w:tblGrid>
      <w:tr w:rsidR="00040915" w:rsidRPr="00040915" w:rsidTr="00040915">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1</w:t>
            </w: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Med 200 °C/50 % emulsjon, menes en olje som gjennom standardiserte forvitringsprosedyrer har avdampet alle komponenter med kokepunkt under 200 °C, samt er innblandet 50 % sjøvann. Denne syntetisk forvitrede oljeprøven/emulsjonen tilsvarer 0,5 til 1 dags forvitring på sjøen.</w:t>
            </w:r>
          </w:p>
        </w:tc>
      </w:tr>
    </w:tbl>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i/>
          <w:iCs/>
          <w:color w:val="333333"/>
          <w:sz w:val="24"/>
          <w:szCs w:val="24"/>
          <w:lang w:eastAsia="nb-NO"/>
        </w:rPr>
        <w:t xml:space="preserve">Testprogram for kartlegging av oljens </w:t>
      </w:r>
      <w:proofErr w:type="spellStart"/>
      <w:r w:rsidRPr="00040915">
        <w:rPr>
          <w:rFonts w:ascii="Helvetica" w:eastAsia="Times New Roman" w:hAnsi="Helvetica" w:cs="Helvetica"/>
          <w:i/>
          <w:iCs/>
          <w:color w:val="333333"/>
          <w:sz w:val="24"/>
          <w:szCs w:val="24"/>
          <w:lang w:eastAsia="nb-NO"/>
        </w:rPr>
        <w:t>dispergerbarhet</w:t>
      </w:r>
      <w:proofErr w:type="spellEnd"/>
      <w:r w:rsidRPr="00040915">
        <w:rPr>
          <w:rFonts w:ascii="Helvetica" w:eastAsia="Times New Roman" w:hAnsi="Helvetica" w:cs="Helvetica"/>
          <w:i/>
          <w:iCs/>
          <w:color w:val="333333"/>
          <w:sz w:val="24"/>
          <w:szCs w:val="24"/>
          <w:lang w:eastAsia="nb-NO"/>
        </w:rPr>
        <w:t xml:space="preserve"> ved ulike forvitringsgrader</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lastRenderedPageBreak/>
        <w:t xml:space="preserve">Det skal benyttes to ulike testmetoder (IFP og MNS) for å teste </w:t>
      </w:r>
      <w:proofErr w:type="spellStart"/>
      <w:r w:rsidRPr="00040915">
        <w:rPr>
          <w:rFonts w:ascii="Helvetica" w:eastAsia="Times New Roman" w:hAnsi="Helvetica" w:cs="Helvetica"/>
          <w:color w:val="333333"/>
          <w:sz w:val="24"/>
          <w:szCs w:val="24"/>
          <w:lang w:eastAsia="nb-NO"/>
        </w:rPr>
        <w:t>dispergerbarhet</w:t>
      </w:r>
      <w:proofErr w:type="spellEnd"/>
      <w:r w:rsidRPr="00040915">
        <w:rPr>
          <w:rFonts w:ascii="Helvetica" w:eastAsia="Times New Roman" w:hAnsi="Helvetica" w:cs="Helvetica"/>
          <w:color w:val="333333"/>
          <w:sz w:val="24"/>
          <w:szCs w:val="24"/>
          <w:lang w:eastAsia="nb-NO"/>
        </w:rPr>
        <w:t xml:space="preserve"> på forskjellige prøver av oljen, hvor prøvene representerer ulike forvitringsgrader. </w:t>
      </w:r>
    </w:p>
    <w:p w:rsidR="00040915" w:rsidRPr="00040915" w:rsidRDefault="00040915" w:rsidP="00040915">
      <w:pPr>
        <w:shd w:val="clear" w:color="auto" w:fill="FFFFFF"/>
        <w:spacing w:after="0"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 xml:space="preserve">B. </w:t>
      </w:r>
      <w:r w:rsidRPr="00040915">
        <w:rPr>
          <w:rFonts w:ascii="Helvetica" w:eastAsia="Times New Roman" w:hAnsi="Helvetica" w:cs="Helvetica"/>
          <w:i/>
          <w:iCs/>
          <w:color w:val="333333"/>
          <w:sz w:val="24"/>
          <w:szCs w:val="24"/>
          <w:lang w:eastAsia="nb-NO"/>
        </w:rPr>
        <w:t>Virksomheter som ikke produserer eller behandler olje</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Virksomheter som har beredskapsplikt, men som ikke kan knytte beredskapen opp mot en eller flere oljetyper, skal kunne planlegge en beredskap med dispergeringsmiddel dersom man har gjennomgått en «standard» testprosedyre.</w:t>
      </w:r>
    </w:p>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I denne standard testprosedyren skal WSL-testen benyttes. Testprosedyren skal gjennomføres under følgende betingelser: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43"/>
        <w:gridCol w:w="2213"/>
      </w:tblGrid>
      <w:tr w:rsidR="00040915" w:rsidRPr="00040915" w:rsidTr="00040915">
        <w:trPr>
          <w:tblHeader/>
          <w:tblCellSpacing w:w="15" w:type="dxa"/>
        </w:trPr>
        <w:tc>
          <w:tcPr>
            <w:tcW w:w="0" w:type="auto"/>
            <w:shd w:val="clear" w:color="auto" w:fill="auto"/>
            <w:vAlign w:val="center"/>
            <w:hideMark/>
          </w:tcPr>
          <w:p w:rsidR="00040915" w:rsidRPr="00040915" w:rsidRDefault="00040915" w:rsidP="00040915">
            <w:pPr>
              <w:spacing w:after="0" w:line="240" w:lineRule="auto"/>
              <w:jc w:val="center"/>
              <w:rPr>
                <w:rFonts w:ascii="Helvetica" w:eastAsia="Times New Roman" w:hAnsi="Helvetica" w:cs="Helvetica"/>
                <w:b/>
                <w:bCs/>
                <w:color w:val="333333"/>
                <w:sz w:val="23"/>
                <w:szCs w:val="23"/>
                <w:lang w:eastAsia="nb-NO"/>
              </w:rPr>
            </w:pPr>
            <w:r w:rsidRPr="00040915">
              <w:rPr>
                <w:rFonts w:ascii="Helvetica" w:eastAsia="Times New Roman" w:hAnsi="Helvetica" w:cs="Helvetica"/>
                <w:b/>
                <w:bCs/>
                <w:i/>
                <w:iCs/>
                <w:color w:val="333333"/>
                <w:sz w:val="23"/>
                <w:szCs w:val="23"/>
                <w:lang w:eastAsia="nb-NO"/>
              </w:rPr>
              <w:t>Testolje</w:t>
            </w:r>
          </w:p>
        </w:tc>
        <w:tc>
          <w:tcPr>
            <w:tcW w:w="0" w:type="auto"/>
            <w:shd w:val="clear" w:color="auto" w:fill="auto"/>
            <w:vAlign w:val="center"/>
            <w:hideMark/>
          </w:tcPr>
          <w:p w:rsidR="00040915" w:rsidRPr="00040915" w:rsidRDefault="00040915" w:rsidP="00040915">
            <w:pPr>
              <w:spacing w:after="0" w:line="240" w:lineRule="auto"/>
              <w:jc w:val="center"/>
              <w:rPr>
                <w:rFonts w:ascii="Helvetica" w:eastAsia="Times New Roman" w:hAnsi="Helvetica" w:cs="Helvetica"/>
                <w:b/>
                <w:bCs/>
                <w:color w:val="333333"/>
                <w:sz w:val="23"/>
                <w:szCs w:val="23"/>
                <w:lang w:eastAsia="nb-NO"/>
              </w:rPr>
            </w:pPr>
            <w:r w:rsidRPr="00040915">
              <w:rPr>
                <w:rFonts w:ascii="Helvetica" w:eastAsia="Times New Roman" w:hAnsi="Helvetica" w:cs="Helvetica"/>
                <w:b/>
                <w:bCs/>
                <w:i/>
                <w:iCs/>
                <w:color w:val="333333"/>
                <w:sz w:val="23"/>
                <w:szCs w:val="23"/>
                <w:lang w:eastAsia="nb-NO"/>
              </w:rPr>
              <w:t>Betingelser</w:t>
            </w:r>
          </w:p>
        </w:tc>
      </w:tr>
      <w:tr w:rsidR="00040915" w:rsidRPr="00040915" w:rsidTr="00040915">
        <w:trPr>
          <w:tblCellSpacing w:w="15" w:type="dxa"/>
        </w:trPr>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3"/>
                <w:szCs w:val="23"/>
                <w:lang w:eastAsia="nb-NO"/>
              </w:rPr>
            </w:pPr>
            <w:r w:rsidRPr="00040915">
              <w:rPr>
                <w:rFonts w:ascii="Helvetica" w:eastAsia="Times New Roman" w:hAnsi="Helvetica" w:cs="Helvetica"/>
                <w:color w:val="333333"/>
                <w:sz w:val="23"/>
                <w:szCs w:val="23"/>
                <w:lang w:eastAsia="nb-NO"/>
              </w:rPr>
              <w:t>1. Sture Blend 200 °C/50 %</w:t>
            </w: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3"/>
                <w:szCs w:val="23"/>
                <w:lang w:eastAsia="nb-NO"/>
              </w:rPr>
            </w:pPr>
            <w:r w:rsidRPr="00040915">
              <w:rPr>
                <w:rFonts w:ascii="Helvetica" w:eastAsia="Times New Roman" w:hAnsi="Helvetica" w:cs="Helvetica"/>
                <w:color w:val="333333"/>
                <w:sz w:val="23"/>
                <w:szCs w:val="23"/>
                <w:lang w:eastAsia="nb-NO"/>
              </w:rPr>
              <w:t>10 °C, 3,5 % salinitet</w:t>
            </w:r>
          </w:p>
        </w:tc>
      </w:tr>
      <w:tr w:rsidR="00040915" w:rsidRPr="00040915" w:rsidTr="00040915">
        <w:trPr>
          <w:tblCellSpacing w:w="15" w:type="dxa"/>
        </w:trPr>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3"/>
                <w:szCs w:val="23"/>
                <w:lang w:eastAsia="nb-NO"/>
              </w:rPr>
            </w:pPr>
            <w:r w:rsidRPr="00040915">
              <w:rPr>
                <w:rFonts w:ascii="Helvetica" w:eastAsia="Times New Roman" w:hAnsi="Helvetica" w:cs="Helvetica"/>
                <w:color w:val="333333"/>
                <w:sz w:val="23"/>
                <w:szCs w:val="23"/>
                <w:lang w:eastAsia="nb-NO"/>
              </w:rPr>
              <w:t xml:space="preserve">2. Medium </w:t>
            </w:r>
            <w:proofErr w:type="spellStart"/>
            <w:r w:rsidRPr="00040915">
              <w:rPr>
                <w:rFonts w:ascii="Helvetica" w:eastAsia="Times New Roman" w:hAnsi="Helvetica" w:cs="Helvetica"/>
                <w:color w:val="333333"/>
                <w:sz w:val="23"/>
                <w:szCs w:val="23"/>
                <w:lang w:eastAsia="nb-NO"/>
              </w:rPr>
              <w:t>Fuel</w:t>
            </w:r>
            <w:proofErr w:type="spellEnd"/>
            <w:r w:rsidRPr="00040915">
              <w:rPr>
                <w:rFonts w:ascii="Helvetica" w:eastAsia="Times New Roman" w:hAnsi="Helvetica" w:cs="Helvetica"/>
                <w:color w:val="333333"/>
                <w:sz w:val="23"/>
                <w:szCs w:val="23"/>
                <w:lang w:eastAsia="nb-NO"/>
              </w:rPr>
              <w:t xml:space="preserve"> Oil (2000 </w:t>
            </w:r>
            <w:proofErr w:type="spellStart"/>
            <w:r w:rsidRPr="00040915">
              <w:rPr>
                <w:rFonts w:ascii="Helvetica" w:eastAsia="Times New Roman" w:hAnsi="Helvetica" w:cs="Helvetica"/>
                <w:color w:val="333333"/>
                <w:sz w:val="23"/>
                <w:szCs w:val="23"/>
                <w:lang w:eastAsia="nb-NO"/>
              </w:rPr>
              <w:t>cP</w:t>
            </w:r>
            <w:proofErr w:type="spellEnd"/>
            <w:r w:rsidRPr="00040915">
              <w:rPr>
                <w:rFonts w:ascii="Helvetica" w:eastAsia="Times New Roman" w:hAnsi="Helvetica" w:cs="Helvetica"/>
                <w:color w:val="333333"/>
                <w:sz w:val="23"/>
                <w:szCs w:val="23"/>
                <w:lang w:eastAsia="nb-NO"/>
              </w:rPr>
              <w:t xml:space="preserve"> ved 10 °C)</w:t>
            </w: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3"/>
                <w:szCs w:val="23"/>
                <w:lang w:eastAsia="nb-NO"/>
              </w:rPr>
            </w:pPr>
            <w:r w:rsidRPr="00040915">
              <w:rPr>
                <w:rFonts w:ascii="Helvetica" w:eastAsia="Times New Roman" w:hAnsi="Helvetica" w:cs="Helvetica"/>
                <w:color w:val="333333"/>
                <w:sz w:val="23"/>
                <w:szCs w:val="23"/>
                <w:lang w:eastAsia="nb-NO"/>
              </w:rPr>
              <w:t>10 °C, 3,5 % salinitet</w:t>
            </w:r>
          </w:p>
        </w:tc>
      </w:tr>
      <w:tr w:rsidR="00040915" w:rsidRPr="00040915" w:rsidTr="00040915">
        <w:trPr>
          <w:tblCellSpacing w:w="15" w:type="dxa"/>
        </w:trPr>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3"/>
                <w:szCs w:val="23"/>
                <w:lang w:eastAsia="nb-NO"/>
              </w:rPr>
            </w:pPr>
            <w:r w:rsidRPr="00040915">
              <w:rPr>
                <w:rFonts w:ascii="Helvetica" w:eastAsia="Times New Roman" w:hAnsi="Helvetica" w:cs="Helvetica"/>
                <w:color w:val="333333"/>
                <w:sz w:val="23"/>
                <w:szCs w:val="23"/>
                <w:lang w:eastAsia="nb-NO"/>
              </w:rPr>
              <w:t>3. Sture Blend 200 °C/50 %</w:t>
            </w: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3"/>
                <w:szCs w:val="23"/>
                <w:lang w:eastAsia="nb-NO"/>
              </w:rPr>
            </w:pPr>
            <w:r w:rsidRPr="00040915">
              <w:rPr>
                <w:rFonts w:ascii="Helvetica" w:eastAsia="Times New Roman" w:hAnsi="Helvetica" w:cs="Helvetica"/>
                <w:color w:val="333333"/>
                <w:sz w:val="23"/>
                <w:szCs w:val="23"/>
                <w:lang w:eastAsia="nb-NO"/>
              </w:rPr>
              <w:t>10 °C, 0,5 % salinitet</w:t>
            </w:r>
          </w:p>
        </w:tc>
      </w:tr>
      <w:tr w:rsidR="00040915" w:rsidRPr="00040915" w:rsidTr="00040915">
        <w:trPr>
          <w:tblCellSpacing w:w="15" w:type="dxa"/>
        </w:trPr>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3"/>
                <w:szCs w:val="23"/>
                <w:lang w:eastAsia="nb-NO"/>
              </w:rPr>
            </w:pPr>
            <w:r w:rsidRPr="00040915">
              <w:rPr>
                <w:rFonts w:ascii="Helvetica" w:eastAsia="Times New Roman" w:hAnsi="Helvetica" w:cs="Helvetica"/>
                <w:color w:val="333333"/>
                <w:sz w:val="23"/>
                <w:szCs w:val="23"/>
                <w:lang w:eastAsia="nb-NO"/>
              </w:rPr>
              <w:t>4. IFO 180</w:t>
            </w: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color w:val="333333"/>
                <w:sz w:val="23"/>
                <w:szCs w:val="23"/>
                <w:lang w:eastAsia="nb-NO"/>
              </w:rPr>
            </w:pPr>
            <w:r w:rsidRPr="00040915">
              <w:rPr>
                <w:rFonts w:ascii="Helvetica" w:eastAsia="Times New Roman" w:hAnsi="Helvetica" w:cs="Helvetica"/>
                <w:color w:val="333333"/>
                <w:sz w:val="23"/>
                <w:szCs w:val="23"/>
                <w:lang w:eastAsia="nb-NO"/>
              </w:rPr>
              <w:t>10 °C, 3,5 % salinitet</w:t>
            </w:r>
          </w:p>
        </w:tc>
      </w:tr>
    </w:tbl>
    <w:p w:rsidR="00040915" w:rsidRPr="00040915" w:rsidRDefault="00040915" w:rsidP="00040915">
      <w:pPr>
        <w:shd w:val="clear" w:color="auto" w:fill="FFFFFF"/>
        <w:spacing w:after="158" w:line="330" w:lineRule="atLeast"/>
        <w:rPr>
          <w:rFonts w:ascii="Helvetica" w:eastAsia="Times New Roman" w:hAnsi="Helvetica" w:cs="Helvetica"/>
          <w:color w:val="333333"/>
          <w:sz w:val="24"/>
          <w:szCs w:val="24"/>
          <w:lang w:eastAsia="nb-NO"/>
        </w:rPr>
      </w:pPr>
      <w:r w:rsidRPr="00040915">
        <w:rPr>
          <w:rFonts w:ascii="Helvetica" w:eastAsia="Times New Roman" w:hAnsi="Helvetica" w:cs="Helvetica"/>
          <w:color w:val="333333"/>
          <w:sz w:val="24"/>
          <w:szCs w:val="24"/>
          <w:lang w:eastAsia="nb-NO"/>
        </w:rPr>
        <w:t>De to første testene skal benyttes for alle produktene. Den tredje testen trenger kun å gjennomføres dersom produktet planlegges for bruk under betingelser med lav salinitet. Alle tester gjennomføres med doseringsforhold (DOR) = 1:25.</w:t>
      </w:r>
    </w:p>
    <w:tbl>
      <w:tblPr>
        <w:tblW w:w="5000" w:type="pct"/>
        <w:tblCellMar>
          <w:top w:w="15" w:type="dxa"/>
          <w:left w:w="15" w:type="dxa"/>
          <w:bottom w:w="15" w:type="dxa"/>
          <w:right w:w="15" w:type="dxa"/>
        </w:tblCellMar>
        <w:tblLook w:val="04A0" w:firstRow="1" w:lastRow="0" w:firstColumn="1" w:lastColumn="0" w:noHBand="0" w:noVBand="1"/>
      </w:tblPr>
      <w:tblGrid>
        <w:gridCol w:w="64"/>
        <w:gridCol w:w="9038"/>
      </w:tblGrid>
      <w:tr w:rsidR="00040915" w:rsidRPr="00040915" w:rsidTr="00040915">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i/>
                <w:color w:val="333333"/>
                <w:sz w:val="23"/>
                <w:szCs w:val="23"/>
                <w:lang w:eastAsia="nb-NO"/>
              </w:rPr>
            </w:pPr>
          </w:p>
        </w:tc>
        <w:tc>
          <w:tcPr>
            <w:tcW w:w="0" w:type="auto"/>
            <w:shd w:val="clear" w:color="auto" w:fill="auto"/>
            <w:vAlign w:val="center"/>
            <w:hideMark/>
          </w:tcPr>
          <w:p w:rsidR="00040915" w:rsidRPr="00040915" w:rsidRDefault="00040915" w:rsidP="00040915">
            <w:pPr>
              <w:spacing w:after="0" w:line="240" w:lineRule="auto"/>
              <w:rPr>
                <w:rFonts w:ascii="Helvetica" w:eastAsia="Times New Roman" w:hAnsi="Helvetica" w:cs="Helvetica"/>
                <w:i/>
                <w:color w:val="333333"/>
                <w:sz w:val="23"/>
                <w:szCs w:val="23"/>
                <w:lang w:eastAsia="nb-NO"/>
              </w:rPr>
            </w:pPr>
            <w:r w:rsidRPr="00040915">
              <w:rPr>
                <w:rFonts w:ascii="Helvetica" w:eastAsia="Times New Roman" w:hAnsi="Helvetica" w:cs="Helvetica"/>
                <w:i/>
                <w:color w:val="333333"/>
                <w:sz w:val="23"/>
                <w:szCs w:val="23"/>
                <w:lang w:eastAsia="nb-NO"/>
              </w:rPr>
              <w:t xml:space="preserve">Kapittel 19 endret ved </w:t>
            </w:r>
            <w:hyperlink r:id="rId13" w:history="1">
              <w:r w:rsidRPr="00040915">
                <w:rPr>
                  <w:rFonts w:ascii="Helvetica" w:eastAsia="Times New Roman" w:hAnsi="Helvetica" w:cs="Helvetica"/>
                  <w:i/>
                  <w:color w:val="066CAB"/>
                  <w:sz w:val="23"/>
                  <w:szCs w:val="23"/>
                  <w:lang w:eastAsia="nb-NO"/>
                </w:rPr>
                <w:t xml:space="preserve">forskrift 5 </w:t>
              </w:r>
              <w:proofErr w:type="spellStart"/>
              <w:r w:rsidRPr="00040915">
                <w:rPr>
                  <w:rFonts w:ascii="Helvetica" w:eastAsia="Times New Roman" w:hAnsi="Helvetica" w:cs="Helvetica"/>
                  <w:i/>
                  <w:color w:val="066CAB"/>
                  <w:sz w:val="23"/>
                  <w:szCs w:val="23"/>
                  <w:lang w:eastAsia="nb-NO"/>
                </w:rPr>
                <w:t>feb</w:t>
              </w:r>
              <w:proofErr w:type="spellEnd"/>
              <w:r w:rsidRPr="00040915">
                <w:rPr>
                  <w:rFonts w:ascii="Helvetica" w:eastAsia="Times New Roman" w:hAnsi="Helvetica" w:cs="Helvetica"/>
                  <w:i/>
                  <w:color w:val="066CAB"/>
                  <w:sz w:val="23"/>
                  <w:szCs w:val="23"/>
                  <w:lang w:eastAsia="nb-NO"/>
                </w:rPr>
                <w:t xml:space="preserve"> 2009 nr. 186</w:t>
              </w:r>
            </w:hyperlink>
            <w:r w:rsidRPr="00040915">
              <w:rPr>
                <w:rFonts w:ascii="Helvetica" w:eastAsia="Times New Roman" w:hAnsi="Helvetica" w:cs="Helvetica"/>
                <w:i/>
                <w:color w:val="333333"/>
                <w:sz w:val="23"/>
                <w:szCs w:val="23"/>
                <w:lang w:eastAsia="nb-NO"/>
              </w:rPr>
              <w:t>.</w:t>
            </w:r>
          </w:p>
        </w:tc>
      </w:tr>
    </w:tbl>
    <w:p w:rsidR="00111A71" w:rsidRPr="00040915" w:rsidRDefault="00111A71" w:rsidP="00040915"/>
    <w:sectPr w:rsidR="00111A71" w:rsidRPr="00040915">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53C" w:rsidRDefault="005E153C" w:rsidP="005E153C">
      <w:pPr>
        <w:spacing w:after="0" w:line="240" w:lineRule="auto"/>
      </w:pPr>
      <w:r>
        <w:separator/>
      </w:r>
    </w:p>
  </w:endnote>
  <w:endnote w:type="continuationSeparator" w:id="0">
    <w:p w:rsidR="005E153C" w:rsidRDefault="005E153C" w:rsidP="005E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53C" w:rsidRDefault="005E153C" w:rsidP="005E153C">
      <w:pPr>
        <w:spacing w:after="0" w:line="240" w:lineRule="auto"/>
      </w:pPr>
      <w:r>
        <w:separator/>
      </w:r>
    </w:p>
  </w:footnote>
  <w:footnote w:type="continuationSeparator" w:id="0">
    <w:p w:rsidR="005E153C" w:rsidRDefault="005E153C" w:rsidP="005E1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tel"/>
      <w:id w:val="77738743"/>
      <w:placeholder>
        <w:docPart w:val="2D8A6C3DF7984A038FD94E8E5D7F4822"/>
      </w:placeholder>
      <w:dataBinding w:prefixMappings="xmlns:ns0='http://schemas.openxmlformats.org/package/2006/metadata/core-properties' xmlns:ns1='http://purl.org/dc/elements/1.1/'" w:xpath="/ns0:coreProperties[1]/ns1:title[1]" w:storeItemID="{6C3C8BC8-F283-45AE-878A-BAB7291924A1}"/>
      <w:text/>
    </w:sdtPr>
    <w:sdtContent>
      <w:p w:rsidR="005E153C" w:rsidRDefault="005E153C">
        <w:pPr>
          <w:pStyle w:val="Topptekst"/>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Forurensnings</w:t>
        </w:r>
        <w:r w:rsidR="00040915">
          <w:rPr>
            <w:rFonts w:asciiTheme="majorHAnsi" w:eastAsiaTheme="majorEastAsia" w:hAnsiTheme="majorHAnsi" w:cstheme="majorBidi"/>
            <w:sz w:val="32"/>
            <w:szCs w:val="32"/>
          </w:rPr>
          <w:t>forskiften</w:t>
        </w:r>
        <w:proofErr w:type="spellEnd"/>
        <w:r>
          <w:rPr>
            <w:rFonts w:asciiTheme="majorHAnsi" w:eastAsiaTheme="majorEastAsia" w:hAnsiTheme="majorHAnsi" w:cstheme="majorBidi"/>
            <w:sz w:val="32"/>
            <w:szCs w:val="32"/>
          </w:rPr>
          <w:t xml:space="preserve"> - utdrag</w:t>
        </w:r>
      </w:p>
    </w:sdtContent>
  </w:sdt>
  <w:p w:rsidR="005E153C" w:rsidRDefault="005E153C">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3C"/>
    <w:rsid w:val="00036813"/>
    <w:rsid w:val="00040915"/>
    <w:rsid w:val="00111A71"/>
    <w:rsid w:val="005E153C"/>
    <w:rsid w:val="006C67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E15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E153C"/>
  </w:style>
  <w:style w:type="paragraph" w:styleId="Bunntekst">
    <w:name w:val="footer"/>
    <w:basedOn w:val="Normal"/>
    <w:link w:val="BunntekstTegn"/>
    <w:uiPriority w:val="99"/>
    <w:unhideWhenUsed/>
    <w:rsid w:val="005E15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E153C"/>
  </w:style>
  <w:style w:type="paragraph" w:styleId="Bobletekst">
    <w:name w:val="Balloon Text"/>
    <w:basedOn w:val="Normal"/>
    <w:link w:val="BobletekstTegn"/>
    <w:uiPriority w:val="99"/>
    <w:semiHidden/>
    <w:unhideWhenUsed/>
    <w:rsid w:val="005E153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E15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E15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E153C"/>
  </w:style>
  <w:style w:type="paragraph" w:styleId="Bunntekst">
    <w:name w:val="footer"/>
    <w:basedOn w:val="Normal"/>
    <w:link w:val="BunntekstTegn"/>
    <w:uiPriority w:val="99"/>
    <w:unhideWhenUsed/>
    <w:rsid w:val="005E15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E153C"/>
  </w:style>
  <w:style w:type="paragraph" w:styleId="Bobletekst">
    <w:name w:val="Balloon Text"/>
    <w:basedOn w:val="Normal"/>
    <w:link w:val="BobletekstTegn"/>
    <w:uiPriority w:val="99"/>
    <w:semiHidden/>
    <w:unhideWhenUsed/>
    <w:rsid w:val="005E153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E1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558331">
      <w:bodyDiv w:val="1"/>
      <w:marLeft w:val="0"/>
      <w:marRight w:val="0"/>
      <w:marTop w:val="900"/>
      <w:marBottom w:val="0"/>
      <w:divBdr>
        <w:top w:val="none" w:sz="0" w:space="0" w:color="auto"/>
        <w:left w:val="none" w:sz="0" w:space="0" w:color="auto"/>
        <w:bottom w:val="none" w:sz="0" w:space="0" w:color="auto"/>
        <w:right w:val="none" w:sz="0" w:space="0" w:color="auto"/>
      </w:divBdr>
      <w:divsChild>
        <w:div w:id="47266898">
          <w:marLeft w:val="0"/>
          <w:marRight w:val="0"/>
          <w:marTop w:val="0"/>
          <w:marBottom w:val="0"/>
          <w:divBdr>
            <w:top w:val="none" w:sz="0" w:space="0" w:color="auto"/>
            <w:left w:val="none" w:sz="0" w:space="0" w:color="auto"/>
            <w:bottom w:val="none" w:sz="0" w:space="0" w:color="auto"/>
            <w:right w:val="none" w:sz="0" w:space="0" w:color="auto"/>
          </w:divBdr>
          <w:divsChild>
            <w:div w:id="536888925">
              <w:marLeft w:val="0"/>
              <w:marRight w:val="0"/>
              <w:marTop w:val="0"/>
              <w:marBottom w:val="0"/>
              <w:divBdr>
                <w:top w:val="none" w:sz="0" w:space="0" w:color="auto"/>
                <w:left w:val="none" w:sz="0" w:space="0" w:color="auto"/>
                <w:bottom w:val="none" w:sz="0" w:space="0" w:color="auto"/>
                <w:right w:val="none" w:sz="0" w:space="0" w:color="auto"/>
              </w:divBdr>
              <w:divsChild>
                <w:div w:id="1651402797">
                  <w:marLeft w:val="0"/>
                  <w:marRight w:val="0"/>
                  <w:marTop w:val="0"/>
                  <w:marBottom w:val="0"/>
                  <w:divBdr>
                    <w:top w:val="none" w:sz="0" w:space="0" w:color="auto"/>
                    <w:left w:val="none" w:sz="0" w:space="0" w:color="auto"/>
                    <w:bottom w:val="none" w:sz="0" w:space="0" w:color="auto"/>
                    <w:right w:val="none" w:sz="0" w:space="0" w:color="auto"/>
                  </w:divBdr>
                  <w:divsChild>
                    <w:div w:id="1401709788">
                      <w:marLeft w:val="2"/>
                      <w:marRight w:val="2"/>
                      <w:marTop w:val="0"/>
                      <w:marBottom w:val="0"/>
                      <w:divBdr>
                        <w:top w:val="none" w:sz="0" w:space="0" w:color="auto"/>
                        <w:left w:val="none" w:sz="0" w:space="0" w:color="auto"/>
                        <w:bottom w:val="none" w:sz="0" w:space="0" w:color="auto"/>
                        <w:right w:val="none" w:sz="0" w:space="0" w:color="auto"/>
                      </w:divBdr>
                      <w:divsChild>
                        <w:div w:id="1340617840">
                          <w:marLeft w:val="0"/>
                          <w:marRight w:val="0"/>
                          <w:marTop w:val="0"/>
                          <w:marBottom w:val="0"/>
                          <w:divBdr>
                            <w:top w:val="none" w:sz="0" w:space="0" w:color="auto"/>
                            <w:left w:val="none" w:sz="0" w:space="0" w:color="auto"/>
                            <w:bottom w:val="none" w:sz="0" w:space="0" w:color="auto"/>
                            <w:right w:val="none" w:sz="0" w:space="0" w:color="auto"/>
                          </w:divBdr>
                          <w:divsChild>
                            <w:div w:id="852038209">
                              <w:marLeft w:val="0"/>
                              <w:marRight w:val="0"/>
                              <w:marTop w:val="0"/>
                              <w:marBottom w:val="0"/>
                              <w:divBdr>
                                <w:top w:val="none" w:sz="0" w:space="0" w:color="auto"/>
                                <w:left w:val="none" w:sz="0" w:space="0" w:color="auto"/>
                                <w:bottom w:val="none" w:sz="0" w:space="0" w:color="auto"/>
                                <w:right w:val="none" w:sz="0" w:space="0" w:color="auto"/>
                              </w:divBdr>
                              <w:divsChild>
                                <w:div w:id="2114595130">
                                  <w:marLeft w:val="0"/>
                                  <w:marRight w:val="0"/>
                                  <w:marTop w:val="0"/>
                                  <w:marBottom w:val="0"/>
                                  <w:divBdr>
                                    <w:top w:val="none" w:sz="0" w:space="0" w:color="auto"/>
                                    <w:left w:val="none" w:sz="0" w:space="0" w:color="auto"/>
                                    <w:bottom w:val="none" w:sz="0" w:space="0" w:color="auto"/>
                                    <w:right w:val="none" w:sz="0" w:space="0" w:color="auto"/>
                                  </w:divBdr>
                                  <w:divsChild>
                                    <w:div w:id="415900836">
                                      <w:marLeft w:val="0"/>
                                      <w:marRight w:val="0"/>
                                      <w:marTop w:val="0"/>
                                      <w:marBottom w:val="0"/>
                                      <w:divBdr>
                                        <w:top w:val="none" w:sz="0" w:space="0" w:color="auto"/>
                                        <w:left w:val="none" w:sz="0" w:space="0" w:color="auto"/>
                                        <w:bottom w:val="none" w:sz="0" w:space="0" w:color="auto"/>
                                        <w:right w:val="none" w:sz="0" w:space="0" w:color="auto"/>
                                      </w:divBdr>
                                    </w:div>
                                    <w:div w:id="1041244677">
                                      <w:marLeft w:val="0"/>
                                      <w:marRight w:val="0"/>
                                      <w:marTop w:val="0"/>
                                      <w:marBottom w:val="0"/>
                                      <w:divBdr>
                                        <w:top w:val="none" w:sz="0" w:space="0" w:color="auto"/>
                                        <w:left w:val="none" w:sz="0" w:space="0" w:color="auto"/>
                                        <w:bottom w:val="none" w:sz="0" w:space="0" w:color="auto"/>
                                        <w:right w:val="none" w:sz="0" w:space="0" w:color="auto"/>
                                      </w:divBdr>
                                    </w:div>
                                    <w:div w:id="777262122">
                                      <w:marLeft w:val="0"/>
                                      <w:marRight w:val="0"/>
                                      <w:marTop w:val="0"/>
                                      <w:marBottom w:val="0"/>
                                      <w:divBdr>
                                        <w:top w:val="none" w:sz="0" w:space="0" w:color="auto"/>
                                        <w:left w:val="none" w:sz="0" w:space="0" w:color="auto"/>
                                        <w:bottom w:val="none" w:sz="0" w:space="0" w:color="auto"/>
                                        <w:right w:val="none" w:sz="0" w:space="0" w:color="auto"/>
                                      </w:divBdr>
                                    </w:div>
                                    <w:div w:id="95710269">
                                      <w:marLeft w:val="0"/>
                                      <w:marRight w:val="0"/>
                                      <w:marTop w:val="0"/>
                                      <w:marBottom w:val="0"/>
                                      <w:divBdr>
                                        <w:top w:val="none" w:sz="0" w:space="0" w:color="auto"/>
                                        <w:left w:val="none" w:sz="0" w:space="0" w:color="auto"/>
                                        <w:bottom w:val="none" w:sz="0" w:space="0" w:color="auto"/>
                                        <w:right w:val="none" w:sz="0" w:space="0" w:color="auto"/>
                                      </w:divBdr>
                                    </w:div>
                                    <w:div w:id="231236002">
                                      <w:marLeft w:val="0"/>
                                      <w:marRight w:val="0"/>
                                      <w:marTop w:val="0"/>
                                      <w:marBottom w:val="0"/>
                                      <w:divBdr>
                                        <w:top w:val="none" w:sz="0" w:space="0" w:color="auto"/>
                                        <w:left w:val="none" w:sz="0" w:space="0" w:color="auto"/>
                                        <w:bottom w:val="none" w:sz="0" w:space="0" w:color="auto"/>
                                        <w:right w:val="none" w:sz="0" w:space="0" w:color="auto"/>
                                      </w:divBdr>
                                    </w:div>
                                    <w:div w:id="463542295">
                                      <w:marLeft w:val="0"/>
                                      <w:marRight w:val="0"/>
                                      <w:marTop w:val="0"/>
                                      <w:marBottom w:val="0"/>
                                      <w:divBdr>
                                        <w:top w:val="none" w:sz="0" w:space="0" w:color="auto"/>
                                        <w:left w:val="none" w:sz="0" w:space="0" w:color="auto"/>
                                        <w:bottom w:val="none" w:sz="0" w:space="0" w:color="auto"/>
                                        <w:right w:val="none" w:sz="0" w:space="0" w:color="auto"/>
                                      </w:divBdr>
                                    </w:div>
                                    <w:div w:id="2141915553">
                                      <w:marLeft w:val="0"/>
                                      <w:marRight w:val="0"/>
                                      <w:marTop w:val="0"/>
                                      <w:marBottom w:val="0"/>
                                      <w:divBdr>
                                        <w:top w:val="none" w:sz="0" w:space="0" w:color="auto"/>
                                        <w:left w:val="none" w:sz="0" w:space="0" w:color="auto"/>
                                        <w:bottom w:val="none" w:sz="0" w:space="0" w:color="auto"/>
                                        <w:right w:val="none" w:sz="0" w:space="0" w:color="auto"/>
                                      </w:divBdr>
                                    </w:div>
                                    <w:div w:id="1624653739">
                                      <w:marLeft w:val="0"/>
                                      <w:marRight w:val="0"/>
                                      <w:marTop w:val="0"/>
                                      <w:marBottom w:val="0"/>
                                      <w:divBdr>
                                        <w:top w:val="none" w:sz="0" w:space="0" w:color="auto"/>
                                        <w:left w:val="none" w:sz="0" w:space="0" w:color="auto"/>
                                        <w:bottom w:val="none" w:sz="0" w:space="0" w:color="auto"/>
                                        <w:right w:val="none" w:sz="0" w:space="0" w:color="auto"/>
                                      </w:divBdr>
                                    </w:div>
                                    <w:div w:id="572853249">
                                      <w:marLeft w:val="0"/>
                                      <w:marRight w:val="0"/>
                                      <w:marTop w:val="0"/>
                                      <w:marBottom w:val="0"/>
                                      <w:divBdr>
                                        <w:top w:val="none" w:sz="0" w:space="0" w:color="auto"/>
                                        <w:left w:val="none" w:sz="0" w:space="0" w:color="auto"/>
                                        <w:bottom w:val="none" w:sz="0" w:space="0" w:color="auto"/>
                                        <w:right w:val="none" w:sz="0" w:space="0" w:color="auto"/>
                                      </w:divBdr>
                                      <w:divsChild>
                                        <w:div w:id="16993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LTI/forskrift/2010-06-21-1073" TargetMode="External"/><Relationship Id="rId13" Type="http://schemas.openxmlformats.org/officeDocument/2006/relationships/hyperlink" Target="https://lovdata.no/LTI/forskrift/2009-02-05-186" TargetMode="External"/><Relationship Id="rId3" Type="http://schemas.openxmlformats.org/officeDocument/2006/relationships/settings" Target="settings.xml"/><Relationship Id="rId7" Type="http://schemas.openxmlformats.org/officeDocument/2006/relationships/hyperlink" Target="https://lovdata.no/LTI/forskrift/2009-02-05-186" TargetMode="External"/><Relationship Id="rId12" Type="http://schemas.openxmlformats.org/officeDocument/2006/relationships/hyperlink" Target="https://lovdata.no/LTI/forskrift/2009-02-05-186"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vdata.no/LTI/forskrift/2013-03-15-28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vdata.no/LTI/forskrift/2010-06-21-1073" TargetMode="External"/><Relationship Id="rId4" Type="http://schemas.openxmlformats.org/officeDocument/2006/relationships/webSettings" Target="webSettings.xml"/><Relationship Id="rId9" Type="http://schemas.openxmlformats.org/officeDocument/2006/relationships/hyperlink" Target="https://lovdata.no/LTI/forskrift/2013-03-15-284"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8A6C3DF7984A038FD94E8E5D7F4822"/>
        <w:category>
          <w:name w:val="Generelt"/>
          <w:gallery w:val="placeholder"/>
        </w:category>
        <w:types>
          <w:type w:val="bbPlcHdr"/>
        </w:types>
        <w:behaviors>
          <w:behavior w:val="content"/>
        </w:behaviors>
        <w:guid w:val="{4083A651-F892-4700-A551-98A177244520}"/>
      </w:docPartPr>
      <w:docPartBody>
        <w:p w:rsidR="00000000" w:rsidRDefault="006521D3" w:rsidP="006521D3">
          <w:pPr>
            <w:pStyle w:val="2D8A6C3DF7984A038FD94E8E5D7F4822"/>
          </w:pPr>
          <w:r>
            <w:rPr>
              <w:rFonts w:asciiTheme="majorHAnsi" w:eastAsiaTheme="majorEastAsia" w:hAnsiTheme="majorHAnsi" w:cstheme="majorBidi"/>
              <w:sz w:val="32"/>
              <w:szCs w:val="32"/>
            </w:rPr>
            <w:t>[Skriv inn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D3"/>
    <w:rsid w:val="006521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2D8A6C3DF7984A038FD94E8E5D7F4822">
    <w:name w:val="2D8A6C3DF7984A038FD94E8E5D7F4822"/>
    <w:rsid w:val="006521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2D8A6C3DF7984A038FD94E8E5D7F4822">
    <w:name w:val="2D8A6C3DF7984A038FD94E8E5D7F4822"/>
    <w:rsid w:val="00652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9010</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Forurensningsloven - utdrag</vt:lpstr>
    </vt:vector>
  </TitlesOfParts>
  <Company>Farsund kommune</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Forurensningsforskiften - utdrag</dc:title>
  <dc:creator>Egil Olav Knustad</dc:creator>
  <cp:lastModifiedBy>Egil Olav Knustad</cp:lastModifiedBy>
  <cp:revision>2</cp:revision>
  <dcterms:created xsi:type="dcterms:W3CDTF">2018-03-22T08:07:00Z</dcterms:created>
  <dcterms:modified xsi:type="dcterms:W3CDTF">2018-03-22T08:07:00Z</dcterms:modified>
</cp:coreProperties>
</file>